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A7F56" w14:textId="0D80420E" w:rsidR="00E745C4" w:rsidRPr="00895593" w:rsidRDefault="00FD7783" w:rsidP="00E745C4">
      <w:pPr>
        <w:widowControl w:val="0"/>
        <w:autoSpaceDE w:val="0"/>
        <w:autoSpaceDN w:val="0"/>
        <w:adjustRightInd w:val="0"/>
        <w:ind w:left="2540"/>
        <w:rPr>
          <w:rFonts w:cs="Times New Roman"/>
          <w:szCs w:val="28"/>
          <w:lang w:val="es-ES_tradnl"/>
        </w:rPr>
      </w:pPr>
      <w:r>
        <w:rPr>
          <w:rFonts w:cs="Times New Roman"/>
          <w:b/>
          <w:bCs/>
          <w:szCs w:val="28"/>
          <w:lang w:val="es-ES_tradnl"/>
        </w:rPr>
        <w:t xml:space="preserve"> </w:t>
      </w:r>
      <w:r w:rsidR="00E745C4" w:rsidRPr="00895593">
        <w:rPr>
          <w:rFonts w:cs="Times New Roman"/>
          <w:b/>
          <w:bCs/>
          <w:szCs w:val="28"/>
          <w:lang w:val="es-ES_tradnl"/>
        </w:rPr>
        <w:t>REPÚBLICA DE COLOMBIA</w:t>
      </w:r>
    </w:p>
    <w:p w14:paraId="6723E64C" w14:textId="77777777" w:rsidR="00E745C4" w:rsidRPr="00895593" w:rsidRDefault="009E4E72" w:rsidP="00E745C4">
      <w:pPr>
        <w:widowControl w:val="0"/>
        <w:autoSpaceDE w:val="0"/>
        <w:autoSpaceDN w:val="0"/>
        <w:adjustRightInd w:val="0"/>
        <w:ind w:left="2600"/>
        <w:rPr>
          <w:rFonts w:cs="Times New Roman"/>
          <w:b/>
          <w:bCs/>
          <w:szCs w:val="28"/>
          <w:lang w:val="es-ES_tradnl"/>
        </w:rPr>
      </w:pPr>
      <w:r>
        <w:rPr>
          <w:rFonts w:eastAsia="Times New Roman" w:cs="Times New Roman"/>
          <w:b/>
          <w:szCs w:val="28"/>
          <w:lang w:val="es-ES_tradnl"/>
        </w:rPr>
        <w:object w:dxaOrig="1440" w:dyaOrig="1440" w14:anchorId="3622DC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9.75pt;margin-top:21.45pt;width:102.15pt;height:71.55pt;z-index:251658240;mso-position-horizontal-relative:margin;mso-position-vertical-relative:margin" fillcolor="window">
            <v:imagedata r:id="rId8" o:title=""/>
            <w10:wrap type="square" side="right" anchorx="margin" anchory="margin"/>
          </v:shape>
          <o:OLEObject Type="Embed" ProgID="Word.Picture.8" ShapeID="_x0000_s1026" DrawAspect="Content" ObjectID="_1601450472" r:id="rId9"/>
        </w:object>
      </w:r>
    </w:p>
    <w:p w14:paraId="6746EC91" w14:textId="77777777" w:rsidR="00E745C4" w:rsidRPr="00895593" w:rsidRDefault="00E745C4" w:rsidP="00E745C4">
      <w:pPr>
        <w:widowControl w:val="0"/>
        <w:autoSpaceDE w:val="0"/>
        <w:autoSpaceDN w:val="0"/>
        <w:adjustRightInd w:val="0"/>
        <w:ind w:left="2600"/>
        <w:rPr>
          <w:rFonts w:cs="Times New Roman"/>
          <w:b/>
          <w:bCs/>
          <w:szCs w:val="28"/>
          <w:lang w:val="es-ES_tradnl"/>
        </w:rPr>
      </w:pPr>
    </w:p>
    <w:p w14:paraId="26EE534A" w14:textId="77777777" w:rsidR="00E745C4" w:rsidRPr="00895593" w:rsidRDefault="00E745C4" w:rsidP="00E745C4">
      <w:pPr>
        <w:widowControl w:val="0"/>
        <w:autoSpaceDE w:val="0"/>
        <w:autoSpaceDN w:val="0"/>
        <w:adjustRightInd w:val="0"/>
        <w:ind w:left="2600"/>
        <w:rPr>
          <w:rFonts w:cs="Times New Roman"/>
          <w:b/>
          <w:bCs/>
          <w:szCs w:val="28"/>
          <w:lang w:val="es-ES_tradnl"/>
        </w:rPr>
      </w:pPr>
    </w:p>
    <w:p w14:paraId="1FFE04D8" w14:textId="77777777" w:rsidR="00E745C4" w:rsidRPr="00895593" w:rsidRDefault="00E745C4" w:rsidP="00E745C4">
      <w:pPr>
        <w:widowControl w:val="0"/>
        <w:autoSpaceDE w:val="0"/>
        <w:autoSpaceDN w:val="0"/>
        <w:adjustRightInd w:val="0"/>
        <w:ind w:left="2600"/>
        <w:rPr>
          <w:rFonts w:cs="Times New Roman"/>
          <w:b/>
          <w:bCs/>
          <w:szCs w:val="28"/>
          <w:lang w:val="es-ES_tradnl"/>
        </w:rPr>
      </w:pPr>
    </w:p>
    <w:p w14:paraId="6F0C8677" w14:textId="77777777" w:rsidR="00E745C4" w:rsidRPr="00895593" w:rsidRDefault="00E745C4" w:rsidP="00E745C4">
      <w:pPr>
        <w:widowControl w:val="0"/>
        <w:autoSpaceDE w:val="0"/>
        <w:autoSpaceDN w:val="0"/>
        <w:adjustRightInd w:val="0"/>
        <w:ind w:left="2600"/>
        <w:rPr>
          <w:rFonts w:cs="Times New Roman"/>
          <w:b/>
          <w:bCs/>
          <w:szCs w:val="28"/>
          <w:lang w:val="es-ES_tradnl"/>
        </w:rPr>
      </w:pPr>
    </w:p>
    <w:p w14:paraId="4E8F85AE" w14:textId="77777777" w:rsidR="00E745C4" w:rsidRPr="00895593" w:rsidRDefault="00E745C4" w:rsidP="00E745C4">
      <w:pPr>
        <w:widowControl w:val="0"/>
        <w:autoSpaceDE w:val="0"/>
        <w:autoSpaceDN w:val="0"/>
        <w:adjustRightInd w:val="0"/>
        <w:ind w:left="2600"/>
        <w:rPr>
          <w:rFonts w:cs="Times New Roman"/>
          <w:szCs w:val="28"/>
          <w:lang w:val="es-ES_tradnl"/>
        </w:rPr>
      </w:pPr>
      <w:r w:rsidRPr="00895593">
        <w:rPr>
          <w:rFonts w:cs="Times New Roman"/>
          <w:b/>
          <w:bCs/>
          <w:szCs w:val="28"/>
          <w:lang w:val="es-ES_tradnl"/>
        </w:rPr>
        <w:t>CORTE CONSTITUCIONAL</w:t>
      </w:r>
    </w:p>
    <w:p w14:paraId="73084730" w14:textId="77777777" w:rsidR="00E745C4" w:rsidRPr="00895593" w:rsidRDefault="00E745C4" w:rsidP="00E745C4">
      <w:pPr>
        <w:widowControl w:val="0"/>
        <w:autoSpaceDE w:val="0"/>
        <w:autoSpaceDN w:val="0"/>
        <w:adjustRightInd w:val="0"/>
        <w:ind w:left="240"/>
        <w:rPr>
          <w:rFonts w:cs="Times New Roman"/>
          <w:szCs w:val="28"/>
          <w:lang w:val="es-ES_tradnl"/>
        </w:rPr>
      </w:pPr>
      <w:r w:rsidRPr="00895593">
        <w:rPr>
          <w:rFonts w:cs="Times New Roman"/>
          <w:b/>
          <w:bCs/>
          <w:szCs w:val="28"/>
          <w:lang w:val="es-ES_tradnl"/>
        </w:rPr>
        <w:t>SALA ESPECIAL DE SEGUIMIENTO SENTENCIA T-025 DE 2004</w:t>
      </w:r>
    </w:p>
    <w:p w14:paraId="1F9FFA9E" w14:textId="77777777" w:rsidR="00E745C4" w:rsidRPr="00895593" w:rsidRDefault="00E745C4" w:rsidP="00E745C4">
      <w:pPr>
        <w:widowControl w:val="0"/>
        <w:autoSpaceDE w:val="0"/>
        <w:autoSpaceDN w:val="0"/>
        <w:adjustRightInd w:val="0"/>
        <w:rPr>
          <w:rFonts w:cs="Times New Roman"/>
          <w:szCs w:val="28"/>
          <w:lang w:val="es-ES_tradnl"/>
        </w:rPr>
      </w:pPr>
    </w:p>
    <w:p w14:paraId="575E54BE" w14:textId="5B983C15" w:rsidR="00E745C4" w:rsidRPr="00895593" w:rsidRDefault="00E745C4" w:rsidP="003A1DFA">
      <w:pPr>
        <w:widowControl w:val="0"/>
        <w:tabs>
          <w:tab w:val="right" w:pos="8840"/>
        </w:tabs>
        <w:autoSpaceDE w:val="0"/>
        <w:autoSpaceDN w:val="0"/>
        <w:adjustRightInd w:val="0"/>
        <w:ind w:left="3220" w:firstLine="320"/>
        <w:rPr>
          <w:rFonts w:cs="Times New Roman"/>
          <w:lang w:val="es-ES"/>
        </w:rPr>
      </w:pPr>
      <w:r w:rsidRPr="00895593">
        <w:rPr>
          <w:rFonts w:cs="Times New Roman"/>
          <w:b/>
          <w:bCs/>
          <w:lang w:val="es-ES"/>
        </w:rPr>
        <w:t xml:space="preserve">AUTO </w:t>
      </w:r>
      <w:r w:rsidR="00F217FD">
        <w:rPr>
          <w:rFonts w:cs="Times New Roman"/>
          <w:b/>
          <w:bCs/>
          <w:lang w:val="es-ES"/>
        </w:rPr>
        <w:t>681</w:t>
      </w:r>
      <w:r w:rsidR="005E48D8">
        <w:rPr>
          <w:rFonts w:cs="Times New Roman"/>
          <w:b/>
          <w:bCs/>
          <w:lang w:val="es-ES"/>
        </w:rPr>
        <w:t xml:space="preserve"> de 2018</w:t>
      </w:r>
      <w:r w:rsidR="003A1DFA">
        <w:rPr>
          <w:rFonts w:cs="Times New Roman"/>
          <w:b/>
          <w:bCs/>
          <w:lang w:val="es-ES"/>
        </w:rPr>
        <w:tab/>
      </w:r>
    </w:p>
    <w:p w14:paraId="58E5D297" w14:textId="77777777" w:rsidR="00E745C4" w:rsidRPr="00895593" w:rsidRDefault="00E745C4" w:rsidP="00E745C4">
      <w:pPr>
        <w:widowControl w:val="0"/>
        <w:autoSpaceDE w:val="0"/>
        <w:autoSpaceDN w:val="0"/>
        <w:adjustRightInd w:val="0"/>
        <w:rPr>
          <w:rFonts w:cs="Times New Roman"/>
          <w:szCs w:val="28"/>
          <w:lang w:val="es-ES_tradnl"/>
        </w:rPr>
      </w:pPr>
    </w:p>
    <w:p w14:paraId="03CCD555" w14:textId="1BD9C8E9" w:rsidR="00E745C4" w:rsidRPr="00895593" w:rsidRDefault="00E745C4" w:rsidP="00E745C4">
      <w:pPr>
        <w:ind w:left="3540"/>
        <w:rPr>
          <w:rFonts w:cs="Times New Roman"/>
          <w:szCs w:val="28"/>
          <w:lang w:val="es-ES_tradnl"/>
        </w:rPr>
      </w:pPr>
      <w:r w:rsidRPr="00895593">
        <w:rPr>
          <w:rFonts w:cs="Times New Roman"/>
          <w:b/>
          <w:szCs w:val="28"/>
          <w:lang w:val="es-ES_tradnl"/>
        </w:rPr>
        <w:t>Referencia:</w:t>
      </w:r>
      <w:r w:rsidRPr="00895593">
        <w:rPr>
          <w:rFonts w:cs="Times New Roman"/>
          <w:szCs w:val="28"/>
          <w:lang w:val="es-ES_tradnl"/>
        </w:rPr>
        <w:t xml:space="preserve"> </w:t>
      </w:r>
      <w:r w:rsidR="005E48D8" w:rsidRPr="00DD17CC">
        <w:rPr>
          <w:rFonts w:cs="Times New Roman"/>
          <w:szCs w:val="28"/>
          <w:lang w:val="es-ES_tradnl"/>
        </w:rPr>
        <w:t xml:space="preserve">Se </w:t>
      </w:r>
      <w:r w:rsidR="002A7A10" w:rsidRPr="00DD17CC">
        <w:rPr>
          <w:rFonts w:cs="Times New Roman"/>
          <w:szCs w:val="28"/>
          <w:lang w:val="es-ES_tradnl"/>
        </w:rPr>
        <w:t>solicita información adicional sobr</w:t>
      </w:r>
      <w:r w:rsidR="005E48D8" w:rsidRPr="00DD17CC">
        <w:rPr>
          <w:rFonts w:cs="Times New Roman"/>
          <w:szCs w:val="28"/>
          <w:lang w:val="es-ES_tradnl"/>
        </w:rPr>
        <w:t>e los avances</w:t>
      </w:r>
      <w:r w:rsidR="005E48D8">
        <w:rPr>
          <w:rFonts w:cs="Times New Roman"/>
          <w:szCs w:val="28"/>
          <w:lang w:val="es-ES_tradnl"/>
        </w:rPr>
        <w:t>, rezagos o</w:t>
      </w:r>
      <w:r w:rsidRPr="00895593">
        <w:rPr>
          <w:rFonts w:cs="Times New Roman"/>
          <w:szCs w:val="28"/>
          <w:lang w:val="es-ES_tradnl"/>
        </w:rPr>
        <w:t xml:space="preserve"> retrocesos en la protección de los derechos fundamentales de las </w:t>
      </w:r>
      <w:r>
        <w:rPr>
          <w:rFonts w:cs="Times New Roman"/>
          <w:szCs w:val="28"/>
          <w:lang w:val="es-ES_tradnl"/>
        </w:rPr>
        <w:t xml:space="preserve">mujeres víctimas de violencia sexual </w:t>
      </w:r>
      <w:r w:rsidR="005E48D8">
        <w:rPr>
          <w:rFonts w:cs="Times New Roman"/>
          <w:szCs w:val="28"/>
          <w:lang w:val="es-ES_tradnl"/>
        </w:rPr>
        <w:t>incluidas en los anexos reservados de los</w:t>
      </w:r>
      <w:r>
        <w:rPr>
          <w:rFonts w:cs="Times New Roman"/>
          <w:szCs w:val="28"/>
          <w:lang w:val="es-ES_tradnl"/>
        </w:rPr>
        <w:t xml:space="preserve"> Autos 092 de 2008 y 009 de 2015</w:t>
      </w:r>
      <w:r w:rsidRPr="00895593">
        <w:rPr>
          <w:rFonts w:cs="Times New Roman"/>
          <w:szCs w:val="28"/>
          <w:lang w:val="es-ES_tradnl"/>
        </w:rPr>
        <w:t>.</w:t>
      </w:r>
    </w:p>
    <w:p w14:paraId="6420D5A0" w14:textId="77777777" w:rsidR="00E745C4" w:rsidRPr="00895593" w:rsidRDefault="00E745C4" w:rsidP="00E745C4">
      <w:pPr>
        <w:ind w:left="4253"/>
        <w:rPr>
          <w:rFonts w:cs="Times New Roman"/>
          <w:szCs w:val="28"/>
          <w:lang w:val="es-ES_tradnl"/>
        </w:rPr>
      </w:pPr>
    </w:p>
    <w:p w14:paraId="5AB03A5C" w14:textId="77777777" w:rsidR="00E745C4" w:rsidRPr="00895593" w:rsidRDefault="00E745C4" w:rsidP="00E745C4">
      <w:pPr>
        <w:widowControl w:val="0"/>
        <w:autoSpaceDE w:val="0"/>
        <w:autoSpaceDN w:val="0"/>
        <w:adjustRightInd w:val="0"/>
        <w:ind w:left="3544"/>
        <w:rPr>
          <w:rFonts w:cs="Times New Roman"/>
          <w:b/>
          <w:szCs w:val="28"/>
          <w:lang w:val="es-ES_tradnl"/>
        </w:rPr>
      </w:pPr>
      <w:r w:rsidRPr="00895593">
        <w:rPr>
          <w:rFonts w:cs="Times New Roman"/>
          <w:b/>
          <w:szCs w:val="28"/>
          <w:lang w:val="es-ES_tradnl"/>
        </w:rPr>
        <w:t>Magistrada Ponente:</w:t>
      </w:r>
    </w:p>
    <w:p w14:paraId="35BBB018" w14:textId="77777777" w:rsidR="00E745C4" w:rsidRPr="00895593" w:rsidRDefault="00E745C4" w:rsidP="00E745C4">
      <w:pPr>
        <w:widowControl w:val="0"/>
        <w:autoSpaceDE w:val="0"/>
        <w:autoSpaceDN w:val="0"/>
        <w:adjustRightInd w:val="0"/>
        <w:ind w:left="3544"/>
        <w:rPr>
          <w:rFonts w:cs="Times New Roman"/>
          <w:szCs w:val="28"/>
          <w:lang w:val="es-ES_tradnl"/>
        </w:rPr>
      </w:pPr>
      <w:r w:rsidRPr="00895593">
        <w:rPr>
          <w:rFonts w:cs="Times New Roman"/>
          <w:szCs w:val="28"/>
          <w:lang w:val="es-ES_tradnl"/>
        </w:rPr>
        <w:t>Dra. Gloria Stella Ortiz Delgado.</w:t>
      </w:r>
    </w:p>
    <w:p w14:paraId="7C5F45EF" w14:textId="77777777" w:rsidR="00E745C4" w:rsidRPr="00895593" w:rsidRDefault="00E745C4" w:rsidP="00E745C4">
      <w:pPr>
        <w:widowControl w:val="0"/>
        <w:autoSpaceDE w:val="0"/>
        <w:autoSpaceDN w:val="0"/>
        <w:adjustRightInd w:val="0"/>
        <w:rPr>
          <w:rFonts w:cs="Times New Roman"/>
          <w:szCs w:val="28"/>
          <w:lang w:val="es-ES_tradnl"/>
        </w:rPr>
      </w:pPr>
    </w:p>
    <w:p w14:paraId="6E0ACB05" w14:textId="07A3FA33" w:rsidR="00E745C4" w:rsidRPr="00774A25" w:rsidRDefault="00F217FD" w:rsidP="00E745C4">
      <w:pPr>
        <w:autoSpaceDE w:val="0"/>
        <w:autoSpaceDN w:val="0"/>
        <w:rPr>
          <w:rFonts w:eastAsia="SimSun"/>
          <w:i/>
          <w:szCs w:val="28"/>
          <w:lang w:val="es-ES_tradnl" w:eastAsia="x-none"/>
        </w:rPr>
      </w:pPr>
      <w:r>
        <w:rPr>
          <w:rFonts w:eastAsia="SimSun"/>
          <w:szCs w:val="28"/>
          <w:lang w:val="es-ES_tradnl" w:eastAsia="x-none"/>
        </w:rPr>
        <w:t>Bogotá, D. C., diecinueve (19</w:t>
      </w:r>
      <w:r w:rsidR="00945487">
        <w:rPr>
          <w:rFonts w:eastAsia="SimSun"/>
          <w:szCs w:val="28"/>
          <w:lang w:val="es-ES_tradnl" w:eastAsia="x-none"/>
        </w:rPr>
        <w:t>)</w:t>
      </w:r>
      <w:r w:rsidR="00E745C4" w:rsidRPr="00895593">
        <w:rPr>
          <w:rFonts w:eastAsia="SimSun"/>
          <w:szCs w:val="28"/>
          <w:lang w:val="es-ES_tradnl" w:eastAsia="x-none"/>
        </w:rPr>
        <w:t xml:space="preserve"> de </w:t>
      </w:r>
      <w:r w:rsidR="00945487">
        <w:rPr>
          <w:rFonts w:eastAsia="SimSun"/>
          <w:szCs w:val="28"/>
          <w:lang w:val="es-ES_tradnl" w:eastAsia="x-none"/>
        </w:rPr>
        <w:t>octu</w:t>
      </w:r>
      <w:r w:rsidR="00FD7783">
        <w:rPr>
          <w:rFonts w:eastAsia="SimSun"/>
          <w:szCs w:val="28"/>
          <w:lang w:val="es-ES_tradnl" w:eastAsia="x-none"/>
        </w:rPr>
        <w:t>br</w:t>
      </w:r>
      <w:r w:rsidR="000341BB">
        <w:rPr>
          <w:rFonts w:eastAsia="SimSun"/>
          <w:szCs w:val="28"/>
          <w:lang w:val="es-ES_tradnl" w:eastAsia="x-none"/>
        </w:rPr>
        <w:t>e</w:t>
      </w:r>
      <w:r w:rsidR="00E745C4" w:rsidRPr="00895593">
        <w:rPr>
          <w:rFonts w:eastAsia="SimSun"/>
          <w:szCs w:val="28"/>
          <w:lang w:val="es-ES_tradnl" w:eastAsia="x-none"/>
        </w:rPr>
        <w:t xml:space="preserve"> de dos mil </w:t>
      </w:r>
      <w:r w:rsidR="00E745C4">
        <w:rPr>
          <w:rFonts w:eastAsia="SimSun"/>
          <w:szCs w:val="28"/>
          <w:lang w:val="es-ES_tradnl" w:eastAsia="x-none"/>
        </w:rPr>
        <w:t>dieciocho (2018</w:t>
      </w:r>
      <w:r w:rsidR="00E3714C">
        <w:rPr>
          <w:rFonts w:eastAsia="SimSun"/>
          <w:szCs w:val="28"/>
          <w:lang w:val="es-ES_tradnl" w:eastAsia="x-none"/>
        </w:rPr>
        <w:t>)</w:t>
      </w:r>
      <w:bookmarkStart w:id="0" w:name="_GoBack"/>
      <w:bookmarkEnd w:id="0"/>
    </w:p>
    <w:p w14:paraId="2F1B7FEB" w14:textId="77777777" w:rsidR="00E745C4" w:rsidRPr="00774A25" w:rsidRDefault="00E745C4" w:rsidP="00E745C4">
      <w:pPr>
        <w:widowControl w:val="0"/>
        <w:autoSpaceDE w:val="0"/>
        <w:autoSpaceDN w:val="0"/>
        <w:adjustRightInd w:val="0"/>
        <w:rPr>
          <w:rFonts w:cs="Times New Roman"/>
          <w:i/>
          <w:szCs w:val="28"/>
          <w:lang w:val="es-ES_tradnl"/>
        </w:rPr>
      </w:pPr>
    </w:p>
    <w:p w14:paraId="7305A0C5" w14:textId="1BAC78F1" w:rsidR="003A1DFA" w:rsidRPr="00903162" w:rsidRDefault="003A1DFA" w:rsidP="003A1DFA">
      <w:pPr>
        <w:ind w:right="51"/>
        <w:rPr>
          <w:rFonts w:cs="Times New Roman"/>
          <w:szCs w:val="28"/>
        </w:rPr>
      </w:pPr>
      <w:r w:rsidRPr="00903162">
        <w:rPr>
          <w:rFonts w:cs="Times New Roman"/>
          <w:szCs w:val="28"/>
        </w:rPr>
        <w:t xml:space="preserve">En ejercicio de sus competencias constitucionales y legales, la Magistrada sustanciadora, quien preside la Sala Especial de Seguimiento a la </w:t>
      </w:r>
      <w:r w:rsidRPr="00903162">
        <w:rPr>
          <w:rFonts w:cs="Times New Roman"/>
          <w:b/>
          <w:szCs w:val="28"/>
        </w:rPr>
        <w:t>Sentencia T-025 de 2004</w:t>
      </w:r>
      <w:r w:rsidRPr="00903162">
        <w:rPr>
          <w:rFonts w:cs="Times New Roman"/>
          <w:szCs w:val="28"/>
        </w:rPr>
        <w:t xml:space="preserve"> de la Corte Constitucional, profiere el pr</w:t>
      </w:r>
      <w:r>
        <w:rPr>
          <w:rFonts w:cs="Times New Roman"/>
          <w:szCs w:val="28"/>
        </w:rPr>
        <w:t>esente Auto con fundamento en las siguientes,</w:t>
      </w:r>
    </w:p>
    <w:p w14:paraId="283CCF5C" w14:textId="77777777" w:rsidR="00E745C4" w:rsidRPr="00895593" w:rsidRDefault="00E745C4" w:rsidP="00E745C4">
      <w:pPr>
        <w:widowControl w:val="0"/>
        <w:autoSpaceDE w:val="0"/>
        <w:autoSpaceDN w:val="0"/>
        <w:adjustRightInd w:val="0"/>
        <w:rPr>
          <w:rFonts w:cs="Times New Roman"/>
          <w:szCs w:val="28"/>
          <w:lang w:val="es-ES_tradnl"/>
        </w:rPr>
      </w:pPr>
    </w:p>
    <w:p w14:paraId="3FEBCB06" w14:textId="09EAFDD3" w:rsidR="00E745C4" w:rsidRPr="00895593" w:rsidRDefault="005E48D8" w:rsidP="00E745C4">
      <w:pPr>
        <w:pStyle w:val="Ttulo1"/>
        <w:rPr>
          <w:color w:val="auto"/>
          <w:lang w:val="es-ES_tradnl"/>
        </w:rPr>
      </w:pPr>
      <w:r>
        <w:rPr>
          <w:color w:val="auto"/>
          <w:lang w:val="es-ES_tradnl"/>
        </w:rPr>
        <w:t>CONSIDERACIONES</w:t>
      </w:r>
    </w:p>
    <w:p w14:paraId="53D86D69" w14:textId="77777777" w:rsidR="00E745C4" w:rsidRPr="00895593" w:rsidRDefault="00E745C4" w:rsidP="00E745C4">
      <w:pPr>
        <w:widowControl w:val="0"/>
        <w:autoSpaceDE w:val="0"/>
        <w:autoSpaceDN w:val="0"/>
        <w:adjustRightInd w:val="0"/>
        <w:rPr>
          <w:rFonts w:cs="Times New Roman"/>
          <w:b/>
          <w:bCs/>
          <w:szCs w:val="28"/>
          <w:lang w:val="es-ES_tradnl"/>
        </w:rPr>
      </w:pPr>
    </w:p>
    <w:p w14:paraId="560ED08D" w14:textId="64DF5C3F" w:rsidR="003A7DB8" w:rsidRDefault="006D1287" w:rsidP="003A7DB8">
      <w:pPr>
        <w:pStyle w:val="Prrafodelista"/>
        <w:numPr>
          <w:ilvl w:val="0"/>
          <w:numId w:val="28"/>
        </w:numPr>
        <w:tabs>
          <w:tab w:val="left" w:pos="567"/>
        </w:tabs>
        <w:ind w:left="0" w:firstLine="0"/>
      </w:pPr>
      <w:r>
        <w:t xml:space="preserve">El </w:t>
      </w:r>
      <w:r w:rsidRPr="006D1287">
        <w:rPr>
          <w:b/>
        </w:rPr>
        <w:t>Auto 737 de 2017</w:t>
      </w:r>
      <w:r w:rsidRPr="006D1287">
        <w:t>, que</w:t>
      </w:r>
      <w:r>
        <w:t xml:space="preserve"> evaluó el progreso en la protección de los derechos fundamentales de las mujeres víctimas del desplazamiento forzado en el país, en particular a partir de las medidas propuestas por los </w:t>
      </w:r>
      <w:r w:rsidRPr="003A7E63">
        <w:rPr>
          <w:b/>
        </w:rPr>
        <w:t xml:space="preserve">Autos 092 de 2008, 098 de 2013 </w:t>
      </w:r>
      <w:r w:rsidRPr="003A7E63">
        <w:t>y</w:t>
      </w:r>
      <w:r w:rsidRPr="003A7E63">
        <w:rPr>
          <w:b/>
        </w:rPr>
        <w:t xml:space="preserve"> 009 de 2015</w:t>
      </w:r>
      <w:r w:rsidR="00E07B09">
        <w:rPr>
          <w:b/>
        </w:rPr>
        <w:t>,</w:t>
      </w:r>
      <w:r>
        <w:t xml:space="preserve"> </w:t>
      </w:r>
      <w:r w:rsidR="003A7E63">
        <w:t>determinó</w:t>
      </w:r>
      <w:r>
        <w:t xml:space="preserve"> que </w:t>
      </w:r>
      <w:r w:rsidR="003A7E63">
        <w:t xml:space="preserve">el nivel de cumplimiento de las órdenes proferidas en esas providencias, en términos de goce efectivo de derechos, es </w:t>
      </w:r>
      <w:r w:rsidR="003A7E63">
        <w:rPr>
          <w:i/>
        </w:rPr>
        <w:t>bajo</w:t>
      </w:r>
      <w:r w:rsidR="003A7E63">
        <w:t xml:space="preserve"> y que persisten </w:t>
      </w:r>
      <w:r w:rsidR="003A7E63" w:rsidRPr="003A7E63">
        <w:rPr>
          <w:i/>
        </w:rPr>
        <w:t>bloqueos institucionales</w:t>
      </w:r>
      <w:r w:rsidR="003A7E63">
        <w:t xml:space="preserve"> que no permiten constatar una mejora significativa en la situación de las mujeres víctimas de desplazamiento forzado.</w:t>
      </w:r>
    </w:p>
    <w:p w14:paraId="02742D9F" w14:textId="77777777" w:rsidR="003A7DB8" w:rsidRDefault="003A7DB8" w:rsidP="003A7DB8">
      <w:pPr>
        <w:tabs>
          <w:tab w:val="left" w:pos="567"/>
        </w:tabs>
        <w:ind w:left="360"/>
      </w:pPr>
    </w:p>
    <w:p w14:paraId="2B7FC02F" w14:textId="77777777" w:rsidR="003A7DB8" w:rsidRDefault="003A7E63" w:rsidP="003A7DB8">
      <w:pPr>
        <w:pStyle w:val="Prrafodelista"/>
        <w:numPr>
          <w:ilvl w:val="0"/>
          <w:numId w:val="28"/>
        </w:numPr>
        <w:tabs>
          <w:tab w:val="left" w:pos="567"/>
        </w:tabs>
        <w:ind w:left="0" w:firstLine="0"/>
      </w:pPr>
      <w:r>
        <w:t xml:space="preserve">En atención a lo anterior, el </w:t>
      </w:r>
      <w:r w:rsidRPr="006D1287">
        <w:rPr>
          <w:b/>
        </w:rPr>
        <w:t>Auto 737 de 2017</w:t>
      </w:r>
      <w:r>
        <w:rPr>
          <w:b/>
        </w:rPr>
        <w:t xml:space="preserve"> </w:t>
      </w:r>
      <w:r>
        <w:t xml:space="preserve">concluyó que </w:t>
      </w:r>
      <w:r w:rsidR="006D1287">
        <w:t>el estado de cosas inconstitucional (ECI)</w:t>
      </w:r>
      <w:r>
        <w:t xml:space="preserve">, declarado en la </w:t>
      </w:r>
      <w:r w:rsidRPr="003A7E63">
        <w:rPr>
          <w:b/>
        </w:rPr>
        <w:t>Sentencia T-025 de 2004</w:t>
      </w:r>
      <w:r>
        <w:t>,</w:t>
      </w:r>
      <w:r w:rsidR="006D1287">
        <w:t xml:space="preserve"> no se ha superado en lo que tiene que ver con las mujeres, debido a que “</w:t>
      </w:r>
      <w:r w:rsidR="006D1287" w:rsidRPr="003A7E63">
        <w:rPr>
          <w:i/>
          <w:szCs w:val="28"/>
        </w:rPr>
        <w:t xml:space="preserve">el Gobierno Nacional no ha logrado demostrar de forma </w:t>
      </w:r>
      <w:r w:rsidR="006D1287" w:rsidRPr="003A7E63">
        <w:rPr>
          <w:i/>
          <w:iCs/>
          <w:szCs w:val="28"/>
        </w:rPr>
        <w:t xml:space="preserve">objetiva, conducente y pertinente </w:t>
      </w:r>
      <w:r w:rsidR="006D1287" w:rsidRPr="003A7E63">
        <w:rPr>
          <w:i/>
          <w:szCs w:val="28"/>
        </w:rPr>
        <w:t xml:space="preserve">el goce material y sustancial de sus derechos fundamentales, ni la efectiva incorporación del enfoque diferencial y de los criterios mínimos de racionalidad en la política pública, sensible a las necesidades específicas de </w:t>
      </w:r>
      <w:r w:rsidR="006D1287" w:rsidRPr="003A7E63">
        <w:rPr>
          <w:i/>
          <w:szCs w:val="28"/>
        </w:rPr>
        <w:lastRenderedPageBreak/>
        <w:t>las mujeres desplazadas y a los riesgos y facetas de género advertidas por la Corte Constitucional</w:t>
      </w:r>
      <w:r>
        <w:rPr>
          <w:szCs w:val="28"/>
        </w:rPr>
        <w:t>”</w:t>
      </w:r>
      <w:r>
        <w:rPr>
          <w:rStyle w:val="Refdenotaalpie"/>
          <w:szCs w:val="28"/>
        </w:rPr>
        <w:footnoteReference w:id="1"/>
      </w:r>
      <w:r>
        <w:rPr>
          <w:szCs w:val="28"/>
        </w:rPr>
        <w:t>.</w:t>
      </w:r>
    </w:p>
    <w:p w14:paraId="1AB494B0" w14:textId="77777777" w:rsidR="003A7DB8" w:rsidRDefault="003A7DB8" w:rsidP="003A7DB8">
      <w:pPr>
        <w:pStyle w:val="Prrafodelista"/>
      </w:pPr>
    </w:p>
    <w:p w14:paraId="56799D96" w14:textId="5EFC9387" w:rsidR="004C600D" w:rsidRPr="00DD17CC" w:rsidRDefault="003A7E63" w:rsidP="003A7DB8">
      <w:pPr>
        <w:pStyle w:val="Prrafodelista"/>
        <w:numPr>
          <w:ilvl w:val="0"/>
          <w:numId w:val="28"/>
        </w:numPr>
        <w:tabs>
          <w:tab w:val="left" w:pos="567"/>
        </w:tabs>
        <w:ind w:left="0" w:firstLine="0"/>
      </w:pPr>
      <w:r w:rsidRPr="00B35498">
        <w:t xml:space="preserve">En </w:t>
      </w:r>
      <w:r w:rsidRPr="00DD17CC">
        <w:t xml:space="preserve">consecuencia, la mencionada providencia </w:t>
      </w:r>
      <w:r w:rsidR="008608D5" w:rsidRPr="00DD17CC">
        <w:t xml:space="preserve">profirió </w:t>
      </w:r>
      <w:r w:rsidR="00D7375C" w:rsidRPr="00DD17CC">
        <w:t>órdenes generale</w:t>
      </w:r>
      <w:r w:rsidR="004B6857" w:rsidRPr="00DD17CC">
        <w:t>s dirigidas a</w:t>
      </w:r>
      <w:r w:rsidR="004C600D" w:rsidRPr="00DD17CC">
        <w:t xml:space="preserve">: </w:t>
      </w:r>
      <w:r w:rsidR="004C600D" w:rsidRPr="003A7DB8">
        <w:rPr>
          <w:i/>
        </w:rPr>
        <w:t>“</w:t>
      </w:r>
      <w:r w:rsidR="004C600D" w:rsidRPr="003A7DB8">
        <w:rPr>
          <w:i/>
          <w:szCs w:val="28"/>
          <w:shd w:val="clear" w:color="auto" w:fill="FFFFFF"/>
        </w:rPr>
        <w:t>(a) la disposición de una política pública cualificada que incorpore los criterios mínimos de racionalidad</w:t>
      </w:r>
      <w:r w:rsidR="004C600D" w:rsidRPr="003A7DB8">
        <w:rPr>
          <w:i/>
          <w:szCs w:val="28"/>
          <w:bdr w:val="none" w:sz="0" w:space="0" w:color="auto" w:frame="1"/>
        </w:rPr>
        <w:t xml:space="preserve"> </w:t>
      </w:r>
      <w:r w:rsidR="004C600D" w:rsidRPr="003A7DB8">
        <w:rPr>
          <w:i/>
          <w:szCs w:val="28"/>
          <w:shd w:val="clear" w:color="auto" w:fill="FFFFFF"/>
        </w:rPr>
        <w:t>fijados por esta Corporación para dar respuesta efectiva a las necesidades y riesgos de género que enfrentan las mujeres víctimas de desplazamiento forzado, incluyendo la adopción de las presunciones identificadas en los </w:t>
      </w:r>
      <w:r w:rsidR="004C600D" w:rsidRPr="003A7DB8">
        <w:rPr>
          <w:b/>
          <w:bCs/>
          <w:i/>
          <w:szCs w:val="28"/>
          <w:bdr w:val="none" w:sz="0" w:space="0" w:color="auto" w:frame="1"/>
          <w:shd w:val="clear" w:color="auto" w:fill="FFFFFF"/>
        </w:rPr>
        <w:t>Autos 092 de 2008</w:t>
      </w:r>
      <w:r w:rsidR="004C600D" w:rsidRPr="003A7DB8">
        <w:rPr>
          <w:i/>
          <w:szCs w:val="28"/>
          <w:shd w:val="clear" w:color="auto" w:fill="FFFFFF"/>
        </w:rPr>
        <w:t>, </w:t>
      </w:r>
      <w:r w:rsidR="004C600D" w:rsidRPr="003A7DB8">
        <w:rPr>
          <w:b/>
          <w:bCs/>
          <w:i/>
          <w:szCs w:val="28"/>
          <w:bdr w:val="none" w:sz="0" w:space="0" w:color="auto" w:frame="1"/>
          <w:shd w:val="clear" w:color="auto" w:fill="FFFFFF"/>
        </w:rPr>
        <w:t>098 de 2013</w:t>
      </w:r>
      <w:r w:rsidR="004C600D" w:rsidRPr="003A7DB8">
        <w:rPr>
          <w:i/>
          <w:szCs w:val="28"/>
          <w:shd w:val="clear" w:color="auto" w:fill="FFFFFF"/>
        </w:rPr>
        <w:t> y </w:t>
      </w:r>
      <w:r w:rsidR="004C600D" w:rsidRPr="003A7DB8">
        <w:rPr>
          <w:b/>
          <w:bCs/>
          <w:i/>
          <w:szCs w:val="28"/>
          <w:bdr w:val="none" w:sz="0" w:space="0" w:color="auto" w:frame="1"/>
          <w:shd w:val="clear" w:color="auto" w:fill="FFFFFF"/>
        </w:rPr>
        <w:t>009 de 2015</w:t>
      </w:r>
      <w:r w:rsidR="004C600D" w:rsidRPr="003A7DB8">
        <w:rPr>
          <w:i/>
          <w:szCs w:val="28"/>
          <w:shd w:val="clear" w:color="auto" w:fill="FFFFFF"/>
        </w:rPr>
        <w:t>; y (b) la disposición de información objetiva, suficiente y pertinente, así como instrumentos de medición idóneos que permitan la evaluación del goce efectivo de derechos</w:t>
      </w:r>
      <w:r w:rsidR="004C600D" w:rsidRPr="003A7DB8">
        <w:rPr>
          <w:szCs w:val="28"/>
          <w:shd w:val="clear" w:color="auto" w:fill="FFFFFF"/>
        </w:rPr>
        <w:t>”</w:t>
      </w:r>
      <w:r w:rsidR="004C600D" w:rsidRPr="00DD17CC">
        <w:rPr>
          <w:rStyle w:val="Refdenotaalpie"/>
          <w:szCs w:val="28"/>
          <w:shd w:val="clear" w:color="auto" w:fill="FFFFFF"/>
        </w:rPr>
        <w:footnoteReference w:id="2"/>
      </w:r>
      <w:r w:rsidR="004C600D" w:rsidRPr="003A7DB8">
        <w:rPr>
          <w:szCs w:val="28"/>
          <w:shd w:val="clear" w:color="auto" w:fill="FFFFFF"/>
        </w:rPr>
        <w:t>.</w:t>
      </w:r>
      <w:r w:rsidR="004C600D" w:rsidRPr="00DD17CC">
        <w:t xml:space="preserve"> </w:t>
      </w:r>
    </w:p>
    <w:p w14:paraId="0A197188" w14:textId="77777777" w:rsidR="004C600D" w:rsidRPr="00DD17CC" w:rsidRDefault="004C600D" w:rsidP="004C600D">
      <w:pPr>
        <w:pStyle w:val="Prrafodelista"/>
      </w:pPr>
    </w:p>
    <w:p w14:paraId="361FB8FC" w14:textId="5276E0D1" w:rsidR="00261A92" w:rsidRPr="004C600D" w:rsidRDefault="004C600D" w:rsidP="000C0BC8">
      <w:pPr>
        <w:pStyle w:val="Prrafodelista"/>
        <w:tabs>
          <w:tab w:val="left" w:pos="567"/>
        </w:tabs>
        <w:ind w:left="0"/>
      </w:pPr>
      <w:r w:rsidRPr="00DD17CC">
        <w:t>A</w:t>
      </w:r>
      <w:r w:rsidR="00D7375C" w:rsidRPr="00DD17CC">
        <w:t xml:space="preserve">demás, </w:t>
      </w:r>
      <w:r w:rsidRPr="00DD17CC">
        <w:t xml:space="preserve">incluyó </w:t>
      </w:r>
      <w:r w:rsidR="00D7375C" w:rsidRPr="00DD17CC">
        <w:t xml:space="preserve">órdenes </w:t>
      </w:r>
      <w:r w:rsidR="00E73F7D" w:rsidRPr="00DD17CC">
        <w:t xml:space="preserve">dirigidas a lograr la protección de los derechos fundamentales de las mujeres reconocidas en los anexos reservados de los </w:t>
      </w:r>
      <w:r w:rsidR="00E73F7D" w:rsidRPr="00DD17CC">
        <w:rPr>
          <w:b/>
        </w:rPr>
        <w:t xml:space="preserve">Autos 092 de 2008 </w:t>
      </w:r>
      <w:r w:rsidR="00E73F7D" w:rsidRPr="00DD17CC">
        <w:t>y</w:t>
      </w:r>
      <w:r w:rsidR="00E73F7D" w:rsidRPr="00DD17CC">
        <w:rPr>
          <w:b/>
        </w:rPr>
        <w:t xml:space="preserve"> 009 de 2015</w:t>
      </w:r>
      <w:r w:rsidR="00BB64EF" w:rsidRPr="00DD17CC">
        <w:t>.</w:t>
      </w:r>
      <w:r w:rsidRPr="00DD17CC">
        <w:t xml:space="preserve"> En efecto,</w:t>
      </w:r>
      <w:r w:rsidR="00BB64EF" w:rsidRPr="00DD17CC">
        <w:t xml:space="preserve"> </w:t>
      </w:r>
      <w:r w:rsidR="00874148" w:rsidRPr="00DD17CC">
        <w:t xml:space="preserve">el </w:t>
      </w:r>
      <w:r w:rsidR="00874148" w:rsidRPr="00DD17CC">
        <w:rPr>
          <w:b/>
        </w:rPr>
        <w:t>Auto 737 de 2017</w:t>
      </w:r>
      <w:r w:rsidR="00874148" w:rsidRPr="00DD17CC">
        <w:t xml:space="preserve"> ordenó a </w:t>
      </w:r>
      <w:r w:rsidR="00874148">
        <w:t>la Fiscalía General de la Nación</w:t>
      </w:r>
      <w:r w:rsidR="006535AD">
        <w:t xml:space="preserve"> presentar</w:t>
      </w:r>
      <w:r w:rsidR="00BF03AB">
        <w:t xml:space="preserve"> a esta Sala Especial un informe </w:t>
      </w:r>
      <w:r w:rsidR="00261A92">
        <w:t xml:space="preserve">que diera cuenta del estado procesal de los casos de los anexos reservados </w:t>
      </w:r>
      <w:r>
        <w:t>contenidos en tales providencias</w:t>
      </w:r>
      <w:r w:rsidR="00261A92">
        <w:t>, así como de las estrategias y acciones desplegadas para avanzar en su trámite</w:t>
      </w:r>
      <w:r w:rsidR="00261A92">
        <w:rPr>
          <w:rStyle w:val="Refdenotaalpie"/>
        </w:rPr>
        <w:footnoteReference w:id="3"/>
      </w:r>
      <w:r w:rsidR="00261A92">
        <w:t xml:space="preserve">. </w:t>
      </w:r>
      <w:r w:rsidR="004B7FEB">
        <w:t xml:space="preserve">También ordenó a la Fiscalía </w:t>
      </w:r>
      <w:r w:rsidR="00261A92">
        <w:t>que, en coordinación con la Unidad Nacional de Protección</w:t>
      </w:r>
      <w:r w:rsidR="004C0E7E">
        <w:t>,</w:t>
      </w:r>
      <w:r w:rsidR="00261A92">
        <w:t xml:space="preserve"> presentaran a la Corte un informe sobre las acciones</w:t>
      </w:r>
      <w:r w:rsidR="00261A92">
        <w:rPr>
          <w:rFonts w:eastAsiaTheme="minorHAnsi" w:cs="Times New Roman"/>
          <w:color w:val="000000"/>
          <w:szCs w:val="28"/>
        </w:rPr>
        <w:t xml:space="preserve"> implementadas</w:t>
      </w:r>
      <w:r w:rsidR="00261A92" w:rsidRPr="00261A92">
        <w:rPr>
          <w:rFonts w:eastAsiaTheme="minorHAnsi" w:cs="Times New Roman"/>
          <w:color w:val="000000"/>
          <w:szCs w:val="28"/>
        </w:rPr>
        <w:t xml:space="preserve"> para proteger la vida, seguridad e integridad personal de las mujeres implicadas en los casos de los anexos reservados</w:t>
      </w:r>
      <w:r w:rsidR="00024052" w:rsidRPr="0036534B">
        <w:rPr>
          <w:rStyle w:val="Refdenotaalpie"/>
          <w:rFonts w:eastAsiaTheme="minorHAnsi" w:cs="Times New Roman"/>
          <w:color w:val="000000"/>
          <w:szCs w:val="28"/>
        </w:rPr>
        <w:footnoteReference w:id="4"/>
      </w:r>
      <w:r w:rsidR="00261A92" w:rsidRPr="00261A92">
        <w:rPr>
          <w:rFonts w:eastAsiaTheme="minorHAnsi" w:cs="Times New Roman"/>
          <w:color w:val="000000"/>
          <w:szCs w:val="28"/>
        </w:rPr>
        <w:t>.</w:t>
      </w:r>
    </w:p>
    <w:p w14:paraId="23BCDEF7" w14:textId="77777777" w:rsidR="0036534B" w:rsidRDefault="0036534B" w:rsidP="000C0BC8">
      <w:pPr>
        <w:pStyle w:val="Prrafodelista"/>
        <w:tabs>
          <w:tab w:val="left" w:pos="567"/>
        </w:tabs>
        <w:ind w:left="0"/>
        <w:rPr>
          <w:rFonts w:eastAsiaTheme="minorHAnsi" w:cs="Times New Roman"/>
          <w:color w:val="000000"/>
          <w:szCs w:val="28"/>
        </w:rPr>
      </w:pPr>
    </w:p>
    <w:p w14:paraId="54322801" w14:textId="59E27D19" w:rsidR="00044EBD" w:rsidRDefault="004C0E7E" w:rsidP="000C0BC8">
      <w:pPr>
        <w:pStyle w:val="Prrafodelista"/>
        <w:tabs>
          <w:tab w:val="left" w:pos="567"/>
        </w:tabs>
        <w:ind w:left="0"/>
        <w:rPr>
          <w:rFonts w:eastAsiaTheme="minorHAnsi" w:cs="Times New Roman"/>
          <w:color w:val="000000"/>
          <w:szCs w:val="28"/>
        </w:rPr>
      </w:pPr>
      <w:r>
        <w:rPr>
          <w:rFonts w:eastAsiaTheme="minorHAnsi" w:cs="Times New Roman"/>
          <w:color w:val="000000"/>
          <w:szCs w:val="28"/>
        </w:rPr>
        <w:t>Igualmente</w:t>
      </w:r>
      <w:r w:rsidR="0036534B">
        <w:rPr>
          <w:rFonts w:eastAsiaTheme="minorHAnsi" w:cs="Times New Roman"/>
          <w:color w:val="000000"/>
          <w:szCs w:val="28"/>
        </w:rPr>
        <w:t xml:space="preserve">, </w:t>
      </w:r>
      <w:r>
        <w:rPr>
          <w:rFonts w:eastAsiaTheme="minorHAnsi" w:cs="Times New Roman"/>
          <w:color w:val="000000"/>
          <w:szCs w:val="28"/>
        </w:rPr>
        <w:t xml:space="preserve">la misma providencia </w:t>
      </w:r>
      <w:r w:rsidR="00262BC4">
        <w:rPr>
          <w:rFonts w:eastAsiaTheme="minorHAnsi" w:cs="Times New Roman"/>
          <w:color w:val="000000"/>
          <w:szCs w:val="28"/>
        </w:rPr>
        <w:t xml:space="preserve">ordenó a la Procuraduría General de la Nación que, dentro de los dos meses siguientes a su notificación, informara a esta Corporación acerca de la estrategia jurídica, el talento humano, los indicadores y los mecanismos de monitoreo que ha adoptado ese ente de control </w:t>
      </w:r>
      <w:r w:rsidR="00262BC4">
        <w:rPr>
          <w:rFonts w:eastAsiaTheme="minorHAnsi" w:cs="Times New Roman"/>
          <w:color w:val="000000"/>
          <w:szCs w:val="28"/>
        </w:rPr>
        <w:lastRenderedPageBreak/>
        <w:t xml:space="preserve">con relación a los casos de </w:t>
      </w:r>
      <w:r w:rsidR="00262BC4">
        <w:t xml:space="preserve">los anexos reservados de los </w:t>
      </w:r>
      <w:r w:rsidR="00262BC4">
        <w:rPr>
          <w:b/>
        </w:rPr>
        <w:t xml:space="preserve">Autos 092 de 2008 </w:t>
      </w:r>
      <w:r w:rsidR="00262BC4" w:rsidRPr="003A7E63">
        <w:t>y</w:t>
      </w:r>
      <w:r w:rsidR="00262BC4" w:rsidRPr="003A7E63">
        <w:rPr>
          <w:b/>
        </w:rPr>
        <w:t xml:space="preserve"> 009 de 2015</w:t>
      </w:r>
      <w:r w:rsidR="00262BC4" w:rsidRPr="001D384C">
        <w:rPr>
          <w:rStyle w:val="Refdenotaalpie"/>
        </w:rPr>
        <w:footnoteReference w:id="5"/>
      </w:r>
      <w:r w:rsidRPr="001D384C">
        <w:t>.</w:t>
      </w:r>
    </w:p>
    <w:p w14:paraId="57AE64F3" w14:textId="77777777" w:rsidR="00044EBD" w:rsidRDefault="00044EBD" w:rsidP="000C0BC8">
      <w:pPr>
        <w:pStyle w:val="Prrafodelista"/>
        <w:tabs>
          <w:tab w:val="left" w:pos="567"/>
        </w:tabs>
        <w:ind w:left="0"/>
        <w:rPr>
          <w:rFonts w:eastAsiaTheme="minorHAnsi" w:cs="Times New Roman"/>
          <w:color w:val="000000"/>
          <w:szCs w:val="28"/>
        </w:rPr>
      </w:pPr>
    </w:p>
    <w:p w14:paraId="1FC27D81" w14:textId="6064CD7C" w:rsidR="0036534B" w:rsidRPr="003B10E5" w:rsidRDefault="00044EBD" w:rsidP="000C0BC8">
      <w:pPr>
        <w:pStyle w:val="Prrafodelista"/>
        <w:tabs>
          <w:tab w:val="left" w:pos="567"/>
        </w:tabs>
        <w:ind w:left="0"/>
        <w:rPr>
          <w:rFonts w:eastAsiaTheme="minorHAnsi" w:cs="Times New Roman"/>
          <w:szCs w:val="28"/>
        </w:rPr>
      </w:pPr>
      <w:r w:rsidRPr="003B10E5">
        <w:rPr>
          <w:rFonts w:eastAsiaTheme="minorHAnsi" w:cs="Times New Roman"/>
          <w:szCs w:val="28"/>
        </w:rPr>
        <w:t xml:space="preserve">Finalmente, </w:t>
      </w:r>
      <w:r w:rsidR="004B7FEB" w:rsidRPr="003B10E5">
        <w:t xml:space="preserve">el </w:t>
      </w:r>
      <w:r w:rsidR="004B7FEB" w:rsidRPr="003B10E5">
        <w:rPr>
          <w:b/>
        </w:rPr>
        <w:t>Auto 737 de 2017</w:t>
      </w:r>
      <w:r w:rsidR="004B7FEB" w:rsidRPr="003B10E5">
        <w:t xml:space="preserve"> </w:t>
      </w:r>
      <w:r w:rsidR="00262BC4" w:rsidRPr="003B10E5">
        <w:rPr>
          <w:rFonts w:eastAsiaTheme="minorHAnsi" w:cs="Times New Roman"/>
          <w:szCs w:val="28"/>
        </w:rPr>
        <w:t xml:space="preserve">ordenó a la Unidad para la Atención y Reparación Integral a las Víctimas (UARIV) que presentara a esta Sala un informe detallado sobre la inclusión en el Registro Único de Víctimas (RUV) de las 600 mujeres relacionadas en el </w:t>
      </w:r>
      <w:r w:rsidR="00262BC4" w:rsidRPr="003B10E5">
        <w:rPr>
          <w:rFonts w:eastAsiaTheme="minorHAnsi" w:cs="Times New Roman"/>
          <w:b/>
          <w:szCs w:val="28"/>
        </w:rPr>
        <w:t>Auto 092 de 2008</w:t>
      </w:r>
      <w:r w:rsidR="00262BC4" w:rsidRPr="003B10E5">
        <w:rPr>
          <w:rFonts w:eastAsiaTheme="minorHAnsi" w:cs="Times New Roman"/>
          <w:szCs w:val="28"/>
        </w:rPr>
        <w:t xml:space="preserve"> y en su anexo reservado, así como las medidas de atención y reparación a las que han accedido.</w:t>
      </w:r>
      <w:r w:rsidR="00B70DFD" w:rsidRPr="003B10E5">
        <w:rPr>
          <w:rFonts w:eastAsiaTheme="minorHAnsi" w:cs="Times New Roman"/>
          <w:szCs w:val="28"/>
        </w:rPr>
        <w:t xml:space="preserve"> El </w:t>
      </w:r>
      <w:r w:rsidR="00B70DFD" w:rsidRPr="003B10E5">
        <w:rPr>
          <w:rFonts w:eastAsiaTheme="minorHAnsi" w:cs="Times New Roman"/>
          <w:b/>
          <w:szCs w:val="28"/>
        </w:rPr>
        <w:t>Auto 737 de 2017</w:t>
      </w:r>
      <w:r w:rsidR="00B70DFD" w:rsidRPr="003B10E5">
        <w:rPr>
          <w:rFonts w:eastAsiaTheme="minorHAnsi" w:cs="Times New Roman"/>
          <w:szCs w:val="28"/>
        </w:rPr>
        <w:t xml:space="preserve"> fue notificado el 16 de marzo de 2018.</w:t>
      </w:r>
    </w:p>
    <w:p w14:paraId="0D9FC98C" w14:textId="77777777" w:rsidR="004B7FEB" w:rsidRDefault="004B7FEB" w:rsidP="000C0BC8">
      <w:pPr>
        <w:pStyle w:val="Prrafodelista"/>
        <w:tabs>
          <w:tab w:val="left" w:pos="567"/>
        </w:tabs>
        <w:ind w:left="0"/>
        <w:rPr>
          <w:rFonts w:eastAsiaTheme="minorHAnsi" w:cs="Times New Roman"/>
          <w:color w:val="000000"/>
          <w:szCs w:val="28"/>
        </w:rPr>
      </w:pPr>
    </w:p>
    <w:p w14:paraId="0A3832D8" w14:textId="7089FAB1" w:rsidR="001D384C" w:rsidRPr="003B10E5" w:rsidRDefault="001D384C" w:rsidP="003A7DB8">
      <w:pPr>
        <w:pStyle w:val="Prrafodelista"/>
        <w:numPr>
          <w:ilvl w:val="0"/>
          <w:numId w:val="28"/>
        </w:numPr>
        <w:tabs>
          <w:tab w:val="left" w:pos="567"/>
        </w:tabs>
        <w:ind w:left="0" w:firstLine="0"/>
        <w:rPr>
          <w:rFonts w:eastAsiaTheme="minorHAnsi" w:cs="Times New Roman"/>
          <w:szCs w:val="28"/>
        </w:rPr>
      </w:pPr>
      <w:r w:rsidRPr="003B10E5">
        <w:rPr>
          <w:rFonts w:eastAsiaTheme="minorHAnsi" w:cs="Times New Roman"/>
          <w:szCs w:val="28"/>
        </w:rPr>
        <w:t xml:space="preserve">El 17 de abril de 2018 la Sala Especial de Seguimiento </w:t>
      </w:r>
      <w:r w:rsidR="004C49E4" w:rsidRPr="003B10E5">
        <w:rPr>
          <w:rFonts w:eastAsiaTheme="minorHAnsi" w:cs="Times New Roman"/>
          <w:szCs w:val="28"/>
        </w:rPr>
        <w:t xml:space="preserve">participó, en calidad de asistente, en la jornada </w:t>
      </w:r>
      <w:r w:rsidR="001B32C8" w:rsidRPr="003B10E5">
        <w:rPr>
          <w:rFonts w:eastAsiaTheme="minorHAnsi" w:cs="Times New Roman"/>
          <w:szCs w:val="28"/>
        </w:rPr>
        <w:t>de trabajo interinstitucional sobre los anexos reservados convocada por la Procuraduría General de la Nación</w:t>
      </w:r>
      <w:r w:rsidR="001B4BD3" w:rsidRPr="003B10E5">
        <w:rPr>
          <w:rFonts w:eastAsiaTheme="minorHAnsi" w:cs="Times New Roman"/>
          <w:szCs w:val="28"/>
        </w:rPr>
        <w:t xml:space="preserve">. En ella, la UARIV, la Fiscalía General de la Nación, el Ministerio de Salud y Protección Social y la Procuraduría, presentaron los avances </w:t>
      </w:r>
      <w:r w:rsidR="00762987" w:rsidRPr="003B10E5">
        <w:rPr>
          <w:rFonts w:eastAsiaTheme="minorHAnsi" w:cs="Times New Roman"/>
          <w:szCs w:val="28"/>
        </w:rPr>
        <w:t xml:space="preserve">de cada entidad con relación a las obligaciones derivadas de los </w:t>
      </w:r>
      <w:r w:rsidR="00762987" w:rsidRPr="003B10E5">
        <w:rPr>
          <w:rFonts w:eastAsiaTheme="minorHAnsi" w:cs="Times New Roman"/>
          <w:b/>
          <w:szCs w:val="28"/>
        </w:rPr>
        <w:t>Autos 092 de 2008 y 009 de 2015</w:t>
      </w:r>
      <w:r w:rsidR="00762987" w:rsidRPr="003B10E5">
        <w:rPr>
          <w:rFonts w:eastAsiaTheme="minorHAnsi" w:cs="Times New Roman"/>
          <w:szCs w:val="28"/>
        </w:rPr>
        <w:t xml:space="preserve">, específicamente respecto de las mujeres reconocidas en los anexos reservados. </w:t>
      </w:r>
    </w:p>
    <w:p w14:paraId="15EDBCA4" w14:textId="77777777" w:rsidR="00762987" w:rsidRPr="003B10E5" w:rsidRDefault="00762987" w:rsidP="00762987">
      <w:pPr>
        <w:pStyle w:val="Prrafodelista"/>
        <w:tabs>
          <w:tab w:val="left" w:pos="567"/>
        </w:tabs>
        <w:ind w:left="0"/>
        <w:rPr>
          <w:rFonts w:eastAsiaTheme="minorHAnsi" w:cs="Times New Roman"/>
          <w:szCs w:val="28"/>
        </w:rPr>
      </w:pPr>
    </w:p>
    <w:p w14:paraId="4603BCED" w14:textId="564A2FFB" w:rsidR="004B7FEB" w:rsidRPr="003B10E5" w:rsidRDefault="003B10E5" w:rsidP="001D384C">
      <w:pPr>
        <w:pStyle w:val="Prrafodelista"/>
        <w:tabs>
          <w:tab w:val="left" w:pos="567"/>
        </w:tabs>
        <w:ind w:left="0"/>
        <w:rPr>
          <w:rFonts w:eastAsiaTheme="minorHAnsi" w:cs="Times New Roman"/>
          <w:szCs w:val="28"/>
        </w:rPr>
      </w:pPr>
      <w:r w:rsidRPr="003B10E5">
        <w:rPr>
          <w:rFonts w:eastAsiaTheme="minorHAnsi" w:cs="Times New Roman"/>
          <w:szCs w:val="28"/>
        </w:rPr>
        <w:t>Posteriormente</w:t>
      </w:r>
      <w:r w:rsidR="00762987" w:rsidRPr="003B10E5">
        <w:rPr>
          <w:rFonts w:eastAsiaTheme="minorHAnsi" w:cs="Times New Roman"/>
          <w:szCs w:val="28"/>
        </w:rPr>
        <w:t xml:space="preserve">, dichas entidades enviaron a la Corte Constitucional </w:t>
      </w:r>
      <w:r w:rsidR="001D384C" w:rsidRPr="003B10E5">
        <w:rPr>
          <w:rFonts w:eastAsiaTheme="minorHAnsi" w:cs="Times New Roman"/>
          <w:szCs w:val="28"/>
        </w:rPr>
        <w:t xml:space="preserve">la respuesta a las órdenes </w:t>
      </w:r>
      <w:r w:rsidR="00762987" w:rsidRPr="003B10E5">
        <w:rPr>
          <w:rFonts w:eastAsiaTheme="minorHAnsi" w:cs="Times New Roman"/>
          <w:szCs w:val="28"/>
        </w:rPr>
        <w:t xml:space="preserve">del </w:t>
      </w:r>
      <w:r w:rsidR="00762987" w:rsidRPr="003B10E5">
        <w:rPr>
          <w:rFonts w:eastAsiaTheme="minorHAnsi" w:cs="Times New Roman"/>
          <w:b/>
          <w:szCs w:val="28"/>
        </w:rPr>
        <w:t xml:space="preserve">Auto 737 de 2017 </w:t>
      </w:r>
      <w:r w:rsidR="001D384C" w:rsidRPr="003B10E5">
        <w:rPr>
          <w:rFonts w:eastAsiaTheme="minorHAnsi" w:cs="Times New Roman"/>
          <w:szCs w:val="28"/>
        </w:rPr>
        <w:t>relacionadas con los anexos reservados</w:t>
      </w:r>
      <w:r w:rsidR="00762987" w:rsidRPr="003B10E5">
        <w:rPr>
          <w:rFonts w:eastAsiaTheme="minorHAnsi" w:cs="Times New Roman"/>
          <w:szCs w:val="28"/>
        </w:rPr>
        <w:t xml:space="preserve">. La respuesta de la Fiscalía General de la Nación fue recibida el </w:t>
      </w:r>
      <w:r w:rsidR="00F15616" w:rsidRPr="003B10E5">
        <w:rPr>
          <w:rFonts w:eastAsiaTheme="minorHAnsi" w:cs="Times New Roman"/>
          <w:szCs w:val="28"/>
        </w:rPr>
        <w:t xml:space="preserve">22 </w:t>
      </w:r>
      <w:r w:rsidR="00004815" w:rsidRPr="003B10E5">
        <w:rPr>
          <w:rFonts w:eastAsiaTheme="minorHAnsi" w:cs="Times New Roman"/>
          <w:szCs w:val="28"/>
        </w:rPr>
        <w:t xml:space="preserve">de mayo, la de la Procuraduría General el 17 de mayo y la </w:t>
      </w:r>
      <w:r w:rsidR="00FC4AAD" w:rsidRPr="003B10E5">
        <w:rPr>
          <w:rFonts w:eastAsiaTheme="minorHAnsi" w:cs="Times New Roman"/>
          <w:szCs w:val="28"/>
        </w:rPr>
        <w:t xml:space="preserve">de la UARIV el 25 de junio de 2018. </w:t>
      </w:r>
    </w:p>
    <w:p w14:paraId="2C953F2A" w14:textId="77777777" w:rsidR="00FC4AAD" w:rsidRPr="003B10E5" w:rsidRDefault="00FC4AAD" w:rsidP="001D384C">
      <w:pPr>
        <w:pStyle w:val="Prrafodelista"/>
        <w:tabs>
          <w:tab w:val="left" w:pos="567"/>
        </w:tabs>
        <w:ind w:left="0"/>
        <w:rPr>
          <w:rFonts w:eastAsiaTheme="minorHAnsi" w:cs="Times New Roman"/>
          <w:szCs w:val="28"/>
        </w:rPr>
      </w:pPr>
    </w:p>
    <w:p w14:paraId="60E39B61" w14:textId="77777777" w:rsidR="00BF1266" w:rsidRDefault="00FC4AAD" w:rsidP="000C0BC8">
      <w:pPr>
        <w:pStyle w:val="Prrafodelista"/>
        <w:tabs>
          <w:tab w:val="left" w:pos="567"/>
        </w:tabs>
        <w:ind w:left="0"/>
        <w:rPr>
          <w:rFonts w:eastAsiaTheme="minorHAnsi" w:cs="Times New Roman"/>
          <w:szCs w:val="28"/>
        </w:rPr>
      </w:pPr>
      <w:r w:rsidRPr="003B10E5">
        <w:rPr>
          <w:rFonts w:eastAsiaTheme="minorHAnsi" w:cs="Times New Roman"/>
          <w:szCs w:val="28"/>
        </w:rPr>
        <w:t xml:space="preserve">Al analizar la información recibida, con el fin de conocer los avances, rezagos o retrocesos en la efectiva protección de los derechos fundamentales de las mujeres reconocidas en los anexos reservados, la Sala Especial encontró inconsistencias en los datos proporcionados por estas tres entidades, </w:t>
      </w:r>
      <w:r w:rsidR="009C4EDA" w:rsidRPr="003B10E5">
        <w:rPr>
          <w:rFonts w:eastAsiaTheme="minorHAnsi" w:cs="Times New Roman"/>
          <w:szCs w:val="28"/>
        </w:rPr>
        <w:t>razón que amerita este pronunciamiento</w:t>
      </w:r>
      <w:r w:rsidR="003A39DF" w:rsidRPr="003B10E5">
        <w:rPr>
          <w:rFonts w:eastAsiaTheme="minorHAnsi" w:cs="Times New Roman"/>
          <w:szCs w:val="28"/>
        </w:rPr>
        <w:t xml:space="preserve">. </w:t>
      </w:r>
    </w:p>
    <w:p w14:paraId="48483EE0" w14:textId="77777777" w:rsidR="00BF1266" w:rsidRDefault="00BF1266" w:rsidP="000C0BC8">
      <w:pPr>
        <w:pStyle w:val="Prrafodelista"/>
        <w:tabs>
          <w:tab w:val="left" w:pos="567"/>
        </w:tabs>
        <w:ind w:left="0"/>
        <w:rPr>
          <w:rFonts w:eastAsiaTheme="minorHAnsi" w:cs="Times New Roman"/>
          <w:szCs w:val="28"/>
        </w:rPr>
      </w:pPr>
    </w:p>
    <w:p w14:paraId="1F5FE8D8" w14:textId="16CCC257" w:rsidR="000C0BC8" w:rsidRPr="003B10E5" w:rsidRDefault="003A39DF" w:rsidP="000C0BC8">
      <w:pPr>
        <w:pStyle w:val="Prrafodelista"/>
        <w:tabs>
          <w:tab w:val="left" w:pos="567"/>
        </w:tabs>
        <w:ind w:left="0"/>
        <w:rPr>
          <w:rFonts w:eastAsiaTheme="minorHAnsi" w:cs="Times New Roman"/>
          <w:szCs w:val="28"/>
        </w:rPr>
      </w:pPr>
      <w:r w:rsidRPr="003B10E5">
        <w:rPr>
          <w:rFonts w:eastAsiaTheme="minorHAnsi" w:cs="Times New Roman"/>
          <w:szCs w:val="28"/>
        </w:rPr>
        <w:t>Del análisis de la información presentada surgen dudas que deben ser aclaradas para establecer</w:t>
      </w:r>
      <w:r w:rsidR="009C4EDA" w:rsidRPr="003B10E5">
        <w:rPr>
          <w:rFonts w:eastAsiaTheme="minorHAnsi" w:cs="Times New Roman"/>
          <w:szCs w:val="28"/>
        </w:rPr>
        <w:t xml:space="preserve"> el estado actual de los casos implicados en los anexos reservados de los </w:t>
      </w:r>
      <w:r w:rsidR="009C4EDA" w:rsidRPr="003B10E5">
        <w:rPr>
          <w:rFonts w:eastAsiaTheme="minorHAnsi" w:cs="Times New Roman"/>
          <w:b/>
          <w:szCs w:val="28"/>
        </w:rPr>
        <w:t>Autos 092 de 2008 y 009 de 2015</w:t>
      </w:r>
      <w:r w:rsidR="009C4EDA" w:rsidRPr="003B10E5">
        <w:rPr>
          <w:rFonts w:eastAsiaTheme="minorHAnsi" w:cs="Times New Roman"/>
          <w:szCs w:val="28"/>
        </w:rPr>
        <w:t xml:space="preserve">, </w:t>
      </w:r>
      <w:r w:rsidR="00E07B09">
        <w:rPr>
          <w:rFonts w:eastAsiaTheme="minorHAnsi" w:cs="Times New Roman"/>
          <w:szCs w:val="28"/>
        </w:rPr>
        <w:t>con el fin de</w:t>
      </w:r>
      <w:r w:rsidR="00E07B09" w:rsidRPr="003B10E5">
        <w:rPr>
          <w:rFonts w:eastAsiaTheme="minorHAnsi" w:cs="Times New Roman"/>
          <w:szCs w:val="28"/>
        </w:rPr>
        <w:t xml:space="preserve"> </w:t>
      </w:r>
      <w:r w:rsidR="009C4EDA" w:rsidRPr="003B10E5">
        <w:rPr>
          <w:rFonts w:eastAsiaTheme="minorHAnsi" w:cs="Times New Roman"/>
          <w:szCs w:val="28"/>
        </w:rPr>
        <w:t>proceder a la posterior evaluación del goce efectivo de los derechos de las personas reconocidas en ellos.</w:t>
      </w:r>
    </w:p>
    <w:p w14:paraId="1FCD0E85" w14:textId="77777777" w:rsidR="009C4EDA" w:rsidRPr="003B10E5" w:rsidRDefault="009C4EDA" w:rsidP="000C0BC8">
      <w:pPr>
        <w:pStyle w:val="Prrafodelista"/>
        <w:tabs>
          <w:tab w:val="left" w:pos="567"/>
        </w:tabs>
        <w:ind w:left="0"/>
        <w:rPr>
          <w:rFonts w:eastAsiaTheme="minorHAnsi" w:cs="Times New Roman"/>
          <w:szCs w:val="28"/>
        </w:rPr>
      </w:pPr>
    </w:p>
    <w:p w14:paraId="3A7A6C93" w14:textId="5B53C1FE" w:rsidR="00CB2414" w:rsidRDefault="003A39DF" w:rsidP="000C0BC8">
      <w:pPr>
        <w:pStyle w:val="Prrafodelista"/>
        <w:tabs>
          <w:tab w:val="left" w:pos="567"/>
        </w:tabs>
        <w:ind w:left="0"/>
        <w:rPr>
          <w:rFonts w:eastAsiaTheme="minorHAnsi" w:cs="Times New Roman"/>
          <w:szCs w:val="28"/>
        </w:rPr>
      </w:pPr>
      <w:r w:rsidRPr="003B10E5">
        <w:rPr>
          <w:rFonts w:eastAsiaTheme="minorHAnsi" w:cs="Times New Roman"/>
          <w:szCs w:val="28"/>
        </w:rPr>
        <w:t xml:space="preserve">De conformidad con lo </w:t>
      </w:r>
      <w:r w:rsidR="00E07B09">
        <w:rPr>
          <w:rFonts w:eastAsiaTheme="minorHAnsi" w:cs="Times New Roman"/>
          <w:szCs w:val="28"/>
        </w:rPr>
        <w:t>anterior</w:t>
      </w:r>
      <w:r w:rsidRPr="003B10E5">
        <w:rPr>
          <w:rFonts w:eastAsiaTheme="minorHAnsi" w:cs="Times New Roman"/>
          <w:szCs w:val="28"/>
        </w:rPr>
        <w:t>, e</w:t>
      </w:r>
      <w:r w:rsidR="009C4EDA" w:rsidRPr="003B10E5">
        <w:rPr>
          <w:rFonts w:eastAsiaTheme="minorHAnsi" w:cs="Times New Roman"/>
          <w:szCs w:val="28"/>
        </w:rPr>
        <w:t>l propósito de esta providencia es presentar las inconsistencias advertidas en</w:t>
      </w:r>
      <w:r w:rsidRPr="003B10E5">
        <w:rPr>
          <w:rFonts w:eastAsiaTheme="minorHAnsi" w:cs="Times New Roman"/>
          <w:szCs w:val="28"/>
        </w:rPr>
        <w:t>: (i)</w:t>
      </w:r>
      <w:r w:rsidR="009C4EDA" w:rsidRPr="003B10E5">
        <w:rPr>
          <w:rFonts w:eastAsiaTheme="minorHAnsi" w:cs="Times New Roman"/>
          <w:szCs w:val="28"/>
        </w:rPr>
        <w:t xml:space="preserve"> </w:t>
      </w:r>
      <w:r w:rsidR="0032633C" w:rsidRPr="003B10E5">
        <w:rPr>
          <w:rFonts w:eastAsiaTheme="minorHAnsi" w:cs="Times New Roman"/>
          <w:szCs w:val="28"/>
        </w:rPr>
        <w:t>las respuestas</w:t>
      </w:r>
      <w:r w:rsidR="009C4EDA" w:rsidRPr="003B10E5">
        <w:rPr>
          <w:rFonts w:eastAsiaTheme="minorHAnsi" w:cs="Times New Roman"/>
          <w:szCs w:val="28"/>
        </w:rPr>
        <w:t xml:space="preserve"> remitida</w:t>
      </w:r>
      <w:r w:rsidR="0032633C" w:rsidRPr="003B10E5">
        <w:rPr>
          <w:rFonts w:eastAsiaTheme="minorHAnsi" w:cs="Times New Roman"/>
          <w:szCs w:val="28"/>
        </w:rPr>
        <w:t>s</w:t>
      </w:r>
      <w:r w:rsidR="009C4EDA" w:rsidRPr="003B10E5">
        <w:rPr>
          <w:rFonts w:eastAsiaTheme="minorHAnsi" w:cs="Times New Roman"/>
          <w:szCs w:val="28"/>
        </w:rPr>
        <w:t xml:space="preserve"> </w:t>
      </w:r>
      <w:r w:rsidR="0032633C" w:rsidRPr="003B10E5">
        <w:rPr>
          <w:rFonts w:eastAsiaTheme="minorHAnsi" w:cs="Times New Roman"/>
          <w:szCs w:val="28"/>
        </w:rPr>
        <w:t xml:space="preserve">por la Fiscalía, la </w:t>
      </w:r>
      <w:r w:rsidR="0032633C" w:rsidRPr="003B10E5">
        <w:rPr>
          <w:rFonts w:eastAsiaTheme="minorHAnsi" w:cs="Times New Roman"/>
          <w:szCs w:val="28"/>
        </w:rPr>
        <w:lastRenderedPageBreak/>
        <w:t xml:space="preserve">Procuraduría y la UARIV </w:t>
      </w:r>
      <w:r w:rsidR="009C4EDA" w:rsidRPr="003B10E5">
        <w:rPr>
          <w:rFonts w:eastAsiaTheme="minorHAnsi" w:cs="Times New Roman"/>
          <w:szCs w:val="28"/>
        </w:rPr>
        <w:t xml:space="preserve">a la Sala Especial de Seguimiento, en cumplimiento de las órdenes sexta, octava, novena y décimo cuarta del </w:t>
      </w:r>
      <w:r w:rsidR="009C4EDA" w:rsidRPr="003B10E5">
        <w:rPr>
          <w:rFonts w:eastAsiaTheme="minorHAnsi" w:cs="Times New Roman"/>
          <w:b/>
          <w:szCs w:val="28"/>
        </w:rPr>
        <w:t>Auto 737 de 2017</w:t>
      </w:r>
      <w:r w:rsidR="009C4EDA" w:rsidRPr="003B10E5">
        <w:rPr>
          <w:rFonts w:eastAsiaTheme="minorHAnsi" w:cs="Times New Roman"/>
          <w:szCs w:val="28"/>
        </w:rPr>
        <w:t>,</w:t>
      </w:r>
      <w:r w:rsidR="0032633C" w:rsidRPr="003B10E5">
        <w:rPr>
          <w:rFonts w:eastAsiaTheme="minorHAnsi" w:cs="Times New Roman"/>
          <w:szCs w:val="28"/>
        </w:rPr>
        <w:t xml:space="preserve"> así como en</w:t>
      </w:r>
      <w:r w:rsidRPr="003B10E5">
        <w:rPr>
          <w:rFonts w:eastAsiaTheme="minorHAnsi" w:cs="Times New Roman"/>
          <w:szCs w:val="28"/>
        </w:rPr>
        <w:t xml:space="preserve"> (ii)</w:t>
      </w:r>
      <w:r w:rsidR="0032633C" w:rsidRPr="003B10E5">
        <w:rPr>
          <w:rFonts w:eastAsiaTheme="minorHAnsi" w:cs="Times New Roman"/>
          <w:szCs w:val="28"/>
        </w:rPr>
        <w:t xml:space="preserve"> la jornada de trabajo interinstitucional realizada el 17 de abril de 2018 y,</w:t>
      </w:r>
      <w:r w:rsidR="009C4EDA" w:rsidRPr="003B10E5">
        <w:rPr>
          <w:rFonts w:eastAsiaTheme="minorHAnsi" w:cs="Times New Roman"/>
          <w:szCs w:val="28"/>
        </w:rPr>
        <w:t xml:space="preserve"> en consecuencia, solicitar </w:t>
      </w:r>
      <w:r w:rsidR="0032633C" w:rsidRPr="003B10E5">
        <w:rPr>
          <w:rFonts w:eastAsiaTheme="minorHAnsi" w:cs="Times New Roman"/>
          <w:szCs w:val="28"/>
        </w:rPr>
        <w:t xml:space="preserve">a las </w:t>
      </w:r>
      <w:r w:rsidR="00043871" w:rsidRPr="003B10E5">
        <w:rPr>
          <w:rFonts w:eastAsiaTheme="minorHAnsi" w:cs="Times New Roman"/>
          <w:szCs w:val="28"/>
        </w:rPr>
        <w:t xml:space="preserve">entidades en cuestión </w:t>
      </w:r>
      <w:r w:rsidR="009C4EDA" w:rsidRPr="003B10E5">
        <w:rPr>
          <w:rFonts w:eastAsiaTheme="minorHAnsi" w:cs="Times New Roman"/>
          <w:szCs w:val="28"/>
        </w:rPr>
        <w:t xml:space="preserve">información precisa </w:t>
      </w:r>
      <w:r w:rsidR="0032633C" w:rsidRPr="003B10E5">
        <w:rPr>
          <w:rFonts w:eastAsiaTheme="minorHAnsi" w:cs="Times New Roman"/>
          <w:szCs w:val="28"/>
        </w:rPr>
        <w:t xml:space="preserve">que otorgue a la Corte </w:t>
      </w:r>
      <w:r w:rsidR="00043871" w:rsidRPr="003B10E5">
        <w:rPr>
          <w:rFonts w:eastAsiaTheme="minorHAnsi" w:cs="Times New Roman"/>
          <w:szCs w:val="28"/>
        </w:rPr>
        <w:t xml:space="preserve">suficientes </w:t>
      </w:r>
      <w:r w:rsidR="0032633C" w:rsidRPr="003B10E5">
        <w:rPr>
          <w:rFonts w:eastAsiaTheme="minorHAnsi" w:cs="Times New Roman"/>
          <w:szCs w:val="28"/>
        </w:rPr>
        <w:t xml:space="preserve">elementos de juicio para valorar la situación </w:t>
      </w:r>
      <w:r w:rsidR="00043871" w:rsidRPr="003B10E5">
        <w:rPr>
          <w:rFonts w:eastAsiaTheme="minorHAnsi" w:cs="Times New Roman"/>
          <w:szCs w:val="28"/>
        </w:rPr>
        <w:t xml:space="preserve">actual </w:t>
      </w:r>
      <w:r w:rsidR="0032633C" w:rsidRPr="003B10E5">
        <w:rPr>
          <w:rFonts w:eastAsiaTheme="minorHAnsi" w:cs="Times New Roman"/>
          <w:szCs w:val="28"/>
        </w:rPr>
        <w:t>de las mujeres sobrevivientes a hechos de violencia sexual con ocasión del conflicto armado.</w:t>
      </w:r>
      <w:r w:rsidR="00CB2414">
        <w:rPr>
          <w:rFonts w:eastAsiaTheme="minorHAnsi" w:cs="Times New Roman"/>
          <w:szCs w:val="28"/>
        </w:rPr>
        <w:t xml:space="preserve"> </w:t>
      </w:r>
    </w:p>
    <w:p w14:paraId="0202FC38" w14:textId="77777777" w:rsidR="00CB2414" w:rsidRPr="003A7DB8" w:rsidRDefault="00CB2414" w:rsidP="000C0BC8">
      <w:pPr>
        <w:pStyle w:val="Prrafodelista"/>
        <w:tabs>
          <w:tab w:val="left" w:pos="567"/>
        </w:tabs>
        <w:ind w:left="0"/>
        <w:rPr>
          <w:rFonts w:eastAsiaTheme="minorHAnsi" w:cs="Times New Roman"/>
          <w:szCs w:val="28"/>
        </w:rPr>
      </w:pPr>
    </w:p>
    <w:p w14:paraId="18B2C1E9" w14:textId="6F34C7BB" w:rsidR="009C4EDA" w:rsidRPr="003A7DB8" w:rsidRDefault="00CB2414" w:rsidP="000C0BC8">
      <w:pPr>
        <w:pStyle w:val="Prrafodelista"/>
        <w:tabs>
          <w:tab w:val="left" w:pos="567"/>
        </w:tabs>
        <w:ind w:left="0"/>
        <w:rPr>
          <w:rFonts w:eastAsiaTheme="minorHAnsi" w:cs="Times New Roman"/>
          <w:szCs w:val="28"/>
        </w:rPr>
      </w:pPr>
      <w:r w:rsidRPr="003A7DB8">
        <w:rPr>
          <w:rFonts w:eastAsiaTheme="minorHAnsi" w:cs="Times New Roman"/>
          <w:szCs w:val="28"/>
        </w:rPr>
        <w:t xml:space="preserve">Además, </w:t>
      </w:r>
      <w:r w:rsidR="00DD17CC" w:rsidRPr="003A7DB8">
        <w:rPr>
          <w:rFonts w:eastAsiaTheme="minorHAnsi" w:cs="Times New Roman"/>
          <w:szCs w:val="28"/>
        </w:rPr>
        <w:t>para que en su respuesta a esta providencia,</w:t>
      </w:r>
      <w:r w:rsidRPr="003A7DB8">
        <w:rPr>
          <w:rFonts w:eastAsiaTheme="minorHAnsi" w:cs="Times New Roman"/>
          <w:szCs w:val="28"/>
        </w:rPr>
        <w:t xml:space="preserve"> </w:t>
      </w:r>
      <w:r w:rsidR="00DD17CC" w:rsidRPr="003A7DB8">
        <w:rPr>
          <w:rFonts w:eastAsiaTheme="minorHAnsi" w:cs="Times New Roman"/>
          <w:szCs w:val="28"/>
        </w:rPr>
        <w:t xml:space="preserve">la Fiscalía General de la Nación, la UARIV y la Procuraduría General de la Nación </w:t>
      </w:r>
      <w:r w:rsidRPr="003A7DB8">
        <w:rPr>
          <w:rFonts w:eastAsiaTheme="minorHAnsi" w:cs="Times New Roman"/>
          <w:szCs w:val="28"/>
        </w:rPr>
        <w:t xml:space="preserve">puedan contrastar y comentar los datos que fueron aportados por </w:t>
      </w:r>
      <w:r w:rsidR="00DD17CC" w:rsidRPr="003A7DB8">
        <w:rPr>
          <w:rFonts w:eastAsiaTheme="minorHAnsi" w:cs="Times New Roman"/>
          <w:szCs w:val="28"/>
        </w:rPr>
        <w:t>las otras entidades,</w:t>
      </w:r>
      <w:r w:rsidRPr="003A7DB8">
        <w:rPr>
          <w:rFonts w:eastAsiaTheme="minorHAnsi" w:cs="Times New Roman"/>
          <w:szCs w:val="28"/>
        </w:rPr>
        <w:t xml:space="preserve"> se </w:t>
      </w:r>
      <w:r w:rsidR="00DD17CC" w:rsidRPr="003A7DB8">
        <w:rPr>
          <w:rFonts w:eastAsiaTheme="minorHAnsi" w:cs="Times New Roman"/>
          <w:szCs w:val="28"/>
        </w:rPr>
        <w:t xml:space="preserve">les </w:t>
      </w:r>
      <w:r w:rsidRPr="003A7DB8">
        <w:rPr>
          <w:rFonts w:eastAsiaTheme="minorHAnsi" w:cs="Times New Roman"/>
          <w:szCs w:val="28"/>
        </w:rPr>
        <w:t>remitirán</w:t>
      </w:r>
      <w:r w:rsidR="003A1DFA" w:rsidRPr="003A7DB8">
        <w:rPr>
          <w:rFonts w:eastAsiaTheme="minorHAnsi" w:cs="Times New Roman"/>
          <w:szCs w:val="28"/>
        </w:rPr>
        <w:t xml:space="preserve"> </w:t>
      </w:r>
      <w:r w:rsidRPr="003A7DB8">
        <w:rPr>
          <w:rFonts w:eastAsiaTheme="minorHAnsi" w:cs="Times New Roman"/>
          <w:szCs w:val="28"/>
        </w:rPr>
        <w:t xml:space="preserve">las respuestas recibidas por esta Sala Especial en cumplimiento del </w:t>
      </w:r>
      <w:r w:rsidRPr="003A7DB8">
        <w:rPr>
          <w:rFonts w:eastAsiaTheme="minorHAnsi" w:cs="Times New Roman"/>
          <w:b/>
          <w:szCs w:val="28"/>
        </w:rPr>
        <w:t>Auto 737 de 2017</w:t>
      </w:r>
      <w:r w:rsidR="00DD17CC" w:rsidRPr="003A7DB8">
        <w:rPr>
          <w:rFonts w:eastAsiaTheme="minorHAnsi" w:cs="Times New Roman"/>
          <w:szCs w:val="28"/>
        </w:rPr>
        <w:t xml:space="preserve"> por cada una de ellas. </w:t>
      </w:r>
    </w:p>
    <w:p w14:paraId="2F193B41" w14:textId="77777777" w:rsidR="009C4EDA" w:rsidRPr="003A7DB8" w:rsidRDefault="009C4EDA" w:rsidP="000C0BC8">
      <w:pPr>
        <w:pStyle w:val="Prrafodelista"/>
        <w:tabs>
          <w:tab w:val="left" w:pos="567"/>
        </w:tabs>
        <w:ind w:left="0"/>
        <w:rPr>
          <w:rFonts w:eastAsiaTheme="minorHAnsi" w:cs="Times New Roman"/>
          <w:szCs w:val="28"/>
        </w:rPr>
      </w:pPr>
    </w:p>
    <w:p w14:paraId="10567516" w14:textId="5BED70D3" w:rsidR="00ED09F4" w:rsidRPr="003A7DB8" w:rsidRDefault="00ED09F4" w:rsidP="000C0BC8">
      <w:pPr>
        <w:pStyle w:val="Prrafodelista"/>
        <w:tabs>
          <w:tab w:val="left" w:pos="567"/>
        </w:tabs>
        <w:ind w:left="0"/>
        <w:rPr>
          <w:rFonts w:eastAsiaTheme="minorHAnsi" w:cs="Times New Roman"/>
          <w:szCs w:val="28"/>
        </w:rPr>
      </w:pPr>
      <w:r w:rsidRPr="003A7DB8">
        <w:rPr>
          <w:rFonts w:eastAsiaTheme="minorHAnsi" w:cs="Times New Roman"/>
          <w:szCs w:val="28"/>
        </w:rPr>
        <w:t xml:space="preserve">En tanto se trata de información que da cuenta de la situación de las mujeres reconocidas por los anexos reservados de los </w:t>
      </w:r>
      <w:r w:rsidRPr="003A7DB8">
        <w:rPr>
          <w:rFonts w:eastAsiaTheme="minorHAnsi" w:cs="Times New Roman"/>
          <w:b/>
          <w:szCs w:val="28"/>
        </w:rPr>
        <w:t>Autos 092 de 2008 y 009 de 2015</w:t>
      </w:r>
      <w:r w:rsidRPr="003A7DB8">
        <w:rPr>
          <w:rFonts w:eastAsiaTheme="minorHAnsi" w:cs="Times New Roman"/>
          <w:szCs w:val="28"/>
        </w:rPr>
        <w:t xml:space="preserve">, se advierte a las entidades en mención que: (i) </w:t>
      </w:r>
      <w:r w:rsidRPr="003A7DB8">
        <w:rPr>
          <w:szCs w:val="28"/>
          <w:shd w:val="clear" w:color="auto" w:fill="FFFFFF"/>
        </w:rPr>
        <w:t>“</w:t>
      </w:r>
      <w:r w:rsidRPr="003A7DB8">
        <w:rPr>
          <w:i/>
          <w:szCs w:val="28"/>
          <w:shd w:val="clear" w:color="auto" w:fill="FFFFFF"/>
        </w:rPr>
        <w:t>la información que será entregada por esta Sala Especial únicamente podrá ser utilizada para el ejercicio de sus funciones y, específicamente, para el restablecimiento y fortalecimiento de los derechos de las mujeres desplazadas</w:t>
      </w:r>
      <w:r w:rsidRPr="003A7DB8">
        <w:rPr>
          <w:szCs w:val="28"/>
          <w:shd w:val="clear" w:color="auto" w:fill="FFFFFF"/>
        </w:rPr>
        <w:t>”</w:t>
      </w:r>
      <w:r w:rsidRPr="003A7DB8">
        <w:rPr>
          <w:rStyle w:val="Refdenotaalpie"/>
          <w:szCs w:val="28"/>
          <w:shd w:val="clear" w:color="auto" w:fill="FFFFFF"/>
        </w:rPr>
        <w:footnoteReference w:id="6"/>
      </w:r>
      <w:r w:rsidRPr="003A7DB8">
        <w:rPr>
          <w:szCs w:val="28"/>
          <w:shd w:val="clear" w:color="auto" w:fill="FFFFFF"/>
        </w:rPr>
        <w:t>; y (ii) es su deber</w:t>
      </w:r>
      <w:r w:rsidRPr="003A7DB8">
        <w:rPr>
          <w:rFonts w:eastAsiaTheme="minorHAnsi" w:cs="Times New Roman"/>
          <w:szCs w:val="28"/>
        </w:rPr>
        <w:t xml:space="preserve"> proporcionar a los documentos remitidos la protección y reserva adecuados. </w:t>
      </w:r>
    </w:p>
    <w:p w14:paraId="17C23420" w14:textId="77777777" w:rsidR="00ED09F4" w:rsidRDefault="00ED09F4" w:rsidP="000C0BC8">
      <w:pPr>
        <w:pStyle w:val="Prrafodelista"/>
        <w:tabs>
          <w:tab w:val="left" w:pos="567"/>
        </w:tabs>
        <w:ind w:left="0"/>
        <w:rPr>
          <w:rFonts w:eastAsiaTheme="minorHAnsi" w:cs="Times New Roman"/>
          <w:color w:val="000000"/>
          <w:szCs w:val="28"/>
        </w:rPr>
      </w:pPr>
    </w:p>
    <w:p w14:paraId="37EFB971" w14:textId="27649AA6" w:rsidR="000C0BC8" w:rsidRPr="000C0BC8" w:rsidRDefault="000C0BC8" w:rsidP="000C0BC8">
      <w:pPr>
        <w:pStyle w:val="Prrafodelista"/>
        <w:tabs>
          <w:tab w:val="left" w:pos="567"/>
        </w:tabs>
        <w:ind w:left="0"/>
        <w:rPr>
          <w:rFonts w:eastAsiaTheme="minorHAnsi" w:cs="Times New Roman"/>
          <w:b/>
          <w:i/>
          <w:color w:val="000000"/>
          <w:szCs w:val="28"/>
        </w:rPr>
      </w:pPr>
      <w:r w:rsidRPr="000C0BC8">
        <w:rPr>
          <w:rFonts w:eastAsiaTheme="minorHAnsi" w:cs="Times New Roman"/>
          <w:b/>
          <w:i/>
          <w:color w:val="000000"/>
          <w:szCs w:val="28"/>
        </w:rPr>
        <w:t>Respuesta de la Fiscalía General de la Nación al Auto 737 de 2017</w:t>
      </w:r>
    </w:p>
    <w:p w14:paraId="71A6CF1E" w14:textId="77777777" w:rsidR="000C0BC8" w:rsidRPr="00261A92" w:rsidRDefault="000C0BC8" w:rsidP="000C0BC8">
      <w:pPr>
        <w:pStyle w:val="Prrafodelista"/>
        <w:tabs>
          <w:tab w:val="left" w:pos="567"/>
        </w:tabs>
        <w:ind w:left="0"/>
        <w:rPr>
          <w:rFonts w:eastAsiaTheme="minorHAnsi" w:cs="Times New Roman"/>
          <w:b/>
          <w:color w:val="000000"/>
          <w:sz w:val="24"/>
          <w:szCs w:val="24"/>
        </w:rPr>
      </w:pPr>
    </w:p>
    <w:p w14:paraId="44BCF097" w14:textId="6BD99568" w:rsidR="00822BCB" w:rsidRPr="00822BCB" w:rsidRDefault="00F15616" w:rsidP="003A7DB8">
      <w:pPr>
        <w:pStyle w:val="Prrafodelista"/>
        <w:numPr>
          <w:ilvl w:val="0"/>
          <w:numId w:val="28"/>
        </w:numPr>
        <w:autoSpaceDE w:val="0"/>
        <w:autoSpaceDN w:val="0"/>
        <w:adjustRightInd w:val="0"/>
        <w:ind w:left="0" w:firstLine="0"/>
      </w:pPr>
      <w:r>
        <w:rPr>
          <w:rFonts w:eastAsiaTheme="minorHAnsi" w:cs="Times New Roman"/>
          <w:color w:val="000000"/>
          <w:szCs w:val="28"/>
        </w:rPr>
        <w:t>La respuesta de la Fiscalía General de la Nación</w:t>
      </w:r>
      <w:r w:rsidR="005E5204" w:rsidRPr="00CD7013">
        <w:rPr>
          <w:rFonts w:eastAsiaTheme="minorHAnsi" w:cs="Times New Roman"/>
          <w:color w:val="000000"/>
          <w:szCs w:val="28"/>
        </w:rPr>
        <w:t xml:space="preserve"> </w:t>
      </w:r>
      <w:r w:rsidR="006B5095">
        <w:rPr>
          <w:rFonts w:eastAsiaTheme="minorHAnsi" w:cs="Times New Roman"/>
          <w:color w:val="000000"/>
          <w:szCs w:val="28"/>
        </w:rPr>
        <w:t>presentó</w:t>
      </w:r>
      <w:r w:rsidR="00822BCB">
        <w:rPr>
          <w:rFonts w:eastAsiaTheme="minorHAnsi" w:cs="Times New Roman"/>
          <w:color w:val="000000"/>
          <w:szCs w:val="28"/>
        </w:rPr>
        <w:t xml:space="preserve"> las estrategias para avanzar en las investigaciones de los casos implicados en los anexos reservados de los </w:t>
      </w:r>
      <w:r w:rsidR="00822BCB" w:rsidRPr="00822BCB">
        <w:rPr>
          <w:rFonts w:eastAsiaTheme="minorHAnsi" w:cs="Times New Roman"/>
          <w:b/>
          <w:color w:val="000000"/>
          <w:szCs w:val="28"/>
        </w:rPr>
        <w:t>Autos 092 de 2008 y 009 de 2015</w:t>
      </w:r>
      <w:r w:rsidR="00822BCB">
        <w:rPr>
          <w:rFonts w:eastAsiaTheme="minorHAnsi" w:cs="Times New Roman"/>
          <w:color w:val="000000"/>
          <w:szCs w:val="28"/>
        </w:rPr>
        <w:t>. Al r</w:t>
      </w:r>
      <w:r w:rsidR="004C49E4">
        <w:rPr>
          <w:rFonts w:eastAsiaTheme="minorHAnsi" w:cs="Times New Roman"/>
          <w:color w:val="000000"/>
          <w:szCs w:val="28"/>
        </w:rPr>
        <w:t>especto, esa entidad indicó lo siguiente:</w:t>
      </w:r>
    </w:p>
    <w:p w14:paraId="71700FFE" w14:textId="77777777" w:rsidR="00822BCB" w:rsidRDefault="00822BCB" w:rsidP="00822BCB">
      <w:pPr>
        <w:pStyle w:val="Prrafodelista"/>
        <w:autoSpaceDE w:val="0"/>
        <w:autoSpaceDN w:val="0"/>
        <w:adjustRightInd w:val="0"/>
        <w:ind w:left="0"/>
        <w:rPr>
          <w:rFonts w:eastAsiaTheme="minorHAnsi" w:cs="Times New Roman"/>
          <w:color w:val="000000"/>
          <w:szCs w:val="28"/>
        </w:rPr>
      </w:pPr>
    </w:p>
    <w:p w14:paraId="732279A8" w14:textId="03F1CDB1" w:rsidR="00822BCB" w:rsidRPr="00822BCB" w:rsidRDefault="00822BCB" w:rsidP="00822BCB">
      <w:pPr>
        <w:pStyle w:val="Prrafodelista"/>
        <w:autoSpaceDE w:val="0"/>
        <w:autoSpaceDN w:val="0"/>
        <w:adjustRightInd w:val="0"/>
        <w:ind w:left="567" w:right="618"/>
        <w:rPr>
          <w:sz w:val="24"/>
        </w:rPr>
      </w:pPr>
      <w:r>
        <w:rPr>
          <w:i/>
          <w:sz w:val="24"/>
        </w:rPr>
        <w:t>“</w:t>
      </w:r>
      <w:r w:rsidRPr="00822BCB">
        <w:rPr>
          <w:i/>
          <w:sz w:val="24"/>
        </w:rPr>
        <w:t>[E]n el Auto 009 de 2015, la Corte constató la ocurrencia de nuevos hechos de violencia sexual en el marco del conflicto armado, la consecuente persistencia del riesgo de sufrir esta forma de violencia, dado lo cual, entre otros asuntos, trasladó a la FGN, el reporte de 435 casos para que los investigara a la mayor brevedad posible</w:t>
      </w:r>
      <w:r>
        <w:rPr>
          <w:i/>
          <w:sz w:val="24"/>
        </w:rPr>
        <w:t>”</w:t>
      </w:r>
      <w:r>
        <w:rPr>
          <w:rStyle w:val="Refdenotaalpie"/>
          <w:i/>
          <w:sz w:val="24"/>
        </w:rPr>
        <w:footnoteReference w:id="7"/>
      </w:r>
      <w:r>
        <w:rPr>
          <w:i/>
          <w:sz w:val="24"/>
        </w:rPr>
        <w:t>.</w:t>
      </w:r>
    </w:p>
    <w:p w14:paraId="4178651C" w14:textId="77777777" w:rsidR="00822BCB" w:rsidRDefault="00822BCB" w:rsidP="00822BCB">
      <w:pPr>
        <w:pStyle w:val="Prrafodelista"/>
        <w:autoSpaceDE w:val="0"/>
        <w:autoSpaceDN w:val="0"/>
        <w:adjustRightInd w:val="0"/>
        <w:ind w:left="0"/>
      </w:pPr>
    </w:p>
    <w:p w14:paraId="03F8D404" w14:textId="20328561" w:rsidR="00822BCB" w:rsidRDefault="00822BCB" w:rsidP="00822BCB">
      <w:pPr>
        <w:autoSpaceDE w:val="0"/>
        <w:autoSpaceDN w:val="0"/>
        <w:adjustRightInd w:val="0"/>
      </w:pPr>
      <w:r>
        <w:t>No obstante, la misma respuesta de la Fiscalía, así como informes remitidos previamente a esta Corporación sobre los anexos reservados</w:t>
      </w:r>
      <w:r w:rsidR="00C833F1">
        <w:rPr>
          <w:rStyle w:val="Refdenotaalpie"/>
        </w:rPr>
        <w:footnoteReference w:id="8"/>
      </w:r>
      <w:r>
        <w:t xml:space="preserve">, </w:t>
      </w:r>
      <w:r w:rsidR="006B5095">
        <w:t>mencion</w:t>
      </w:r>
      <w:r w:rsidR="00B97A1A">
        <w:t>ó</w:t>
      </w:r>
      <w:r w:rsidR="006B5095">
        <w:t xml:space="preserve"> </w:t>
      </w:r>
      <w:r>
        <w:t xml:space="preserve">que se trata de 442 casos y no de 435: </w:t>
      </w:r>
    </w:p>
    <w:p w14:paraId="67CDA505" w14:textId="77777777" w:rsidR="00822BCB" w:rsidRDefault="00822BCB" w:rsidP="00822BCB">
      <w:pPr>
        <w:autoSpaceDE w:val="0"/>
        <w:autoSpaceDN w:val="0"/>
        <w:adjustRightInd w:val="0"/>
      </w:pPr>
    </w:p>
    <w:p w14:paraId="52334018" w14:textId="4780C96C" w:rsidR="00822BCB" w:rsidRPr="00822BCB" w:rsidRDefault="00822BCB" w:rsidP="00822BCB">
      <w:pPr>
        <w:autoSpaceDE w:val="0"/>
        <w:autoSpaceDN w:val="0"/>
        <w:adjustRightInd w:val="0"/>
        <w:ind w:left="708" w:right="618"/>
        <w:rPr>
          <w:i/>
          <w:sz w:val="24"/>
        </w:rPr>
      </w:pPr>
      <w:r w:rsidRPr="00822BCB">
        <w:rPr>
          <w:i/>
          <w:sz w:val="24"/>
        </w:rPr>
        <w:t>“El anexo reservado contiene 442 casos de violencia sexual, respecto de los cuales se realizó una búsqueda en nuestros sistemas misionales de información, lográndose verificar que 172 casos no contaban con registros relacionado con el hecho victimizante, lo que correspondía al 38.9% del universo total de casos”</w:t>
      </w:r>
      <w:r>
        <w:rPr>
          <w:rStyle w:val="Refdenotaalpie"/>
          <w:i/>
          <w:sz w:val="24"/>
        </w:rPr>
        <w:footnoteReference w:id="9"/>
      </w:r>
      <w:r w:rsidRPr="00822BCB">
        <w:rPr>
          <w:i/>
          <w:sz w:val="24"/>
        </w:rPr>
        <w:t>.</w:t>
      </w:r>
    </w:p>
    <w:p w14:paraId="0465D89A" w14:textId="77777777" w:rsidR="00822BCB" w:rsidRPr="00CE05D5" w:rsidRDefault="00822BCB" w:rsidP="00822BCB">
      <w:pPr>
        <w:pStyle w:val="Prrafodelista"/>
        <w:autoSpaceDE w:val="0"/>
        <w:autoSpaceDN w:val="0"/>
        <w:adjustRightInd w:val="0"/>
        <w:ind w:left="0"/>
      </w:pPr>
    </w:p>
    <w:p w14:paraId="0BC8E6EF" w14:textId="2E2E0306" w:rsidR="00822BCB" w:rsidRPr="00CE05D5" w:rsidRDefault="00822BCB" w:rsidP="00822BCB">
      <w:pPr>
        <w:pStyle w:val="Prrafodelista"/>
        <w:autoSpaceDE w:val="0"/>
        <w:autoSpaceDN w:val="0"/>
        <w:adjustRightInd w:val="0"/>
        <w:ind w:left="0"/>
      </w:pPr>
      <w:r w:rsidRPr="00CE05D5">
        <w:lastRenderedPageBreak/>
        <w:t xml:space="preserve">En atención a lo anterior, esta Sala </w:t>
      </w:r>
      <w:r w:rsidR="0064627F" w:rsidRPr="00CE05D5">
        <w:t xml:space="preserve">solicitará a la Fiscalía General de la Nación </w:t>
      </w:r>
      <w:r w:rsidR="00C833F1" w:rsidRPr="00CE05D5">
        <w:t xml:space="preserve">explicar el universo de casos, tanto del </w:t>
      </w:r>
      <w:r w:rsidR="00C833F1" w:rsidRPr="00CE05D5">
        <w:rPr>
          <w:rFonts w:eastAsiaTheme="minorHAnsi" w:cs="Times New Roman"/>
          <w:b/>
          <w:szCs w:val="28"/>
        </w:rPr>
        <w:t xml:space="preserve">Auto 092 de 2008, </w:t>
      </w:r>
      <w:r w:rsidR="00C833F1" w:rsidRPr="00CE05D5">
        <w:rPr>
          <w:rFonts w:eastAsiaTheme="minorHAnsi" w:cs="Times New Roman"/>
          <w:szCs w:val="28"/>
        </w:rPr>
        <w:t>como del Auto</w:t>
      </w:r>
      <w:r w:rsidR="00C833F1" w:rsidRPr="00CE05D5">
        <w:rPr>
          <w:rFonts w:eastAsiaTheme="minorHAnsi" w:cs="Times New Roman"/>
          <w:b/>
          <w:szCs w:val="28"/>
        </w:rPr>
        <w:t xml:space="preserve"> 009 de 2015,</w:t>
      </w:r>
      <w:r w:rsidR="00C833F1" w:rsidRPr="00CE05D5">
        <w:rPr>
          <w:rFonts w:eastAsiaTheme="minorHAnsi" w:cs="Times New Roman"/>
          <w:szCs w:val="28"/>
        </w:rPr>
        <w:t xml:space="preserve"> que han sido objeto de investigación.</w:t>
      </w:r>
    </w:p>
    <w:p w14:paraId="5BC3E6AD" w14:textId="77777777" w:rsidR="00822BCB" w:rsidRPr="00822BCB" w:rsidRDefault="00822BCB" w:rsidP="00822BCB">
      <w:pPr>
        <w:pStyle w:val="Prrafodelista"/>
        <w:autoSpaceDE w:val="0"/>
        <w:autoSpaceDN w:val="0"/>
        <w:adjustRightInd w:val="0"/>
        <w:ind w:left="0"/>
      </w:pPr>
    </w:p>
    <w:p w14:paraId="24786898" w14:textId="32E2CA51" w:rsidR="005E5204" w:rsidRDefault="00822BCB" w:rsidP="003A7DB8">
      <w:pPr>
        <w:pStyle w:val="Prrafodelista"/>
        <w:numPr>
          <w:ilvl w:val="0"/>
          <w:numId w:val="28"/>
        </w:numPr>
        <w:autoSpaceDE w:val="0"/>
        <w:autoSpaceDN w:val="0"/>
        <w:adjustRightInd w:val="0"/>
        <w:ind w:left="0" w:firstLine="0"/>
      </w:pPr>
      <w:r>
        <w:rPr>
          <w:rFonts w:eastAsiaTheme="minorHAnsi" w:cs="Times New Roman"/>
          <w:color w:val="000000"/>
          <w:szCs w:val="28"/>
        </w:rPr>
        <w:t xml:space="preserve">La Fiscalía, además, </w:t>
      </w:r>
      <w:r w:rsidR="005E5204" w:rsidRPr="00CD7013">
        <w:rPr>
          <w:rFonts w:eastAsiaTheme="minorHAnsi" w:cs="Times New Roman"/>
          <w:color w:val="000000"/>
          <w:szCs w:val="28"/>
        </w:rPr>
        <w:t xml:space="preserve">presentó </w:t>
      </w:r>
      <w:r w:rsidR="005E5204">
        <w:t xml:space="preserve">cinco </w:t>
      </w:r>
      <w:r w:rsidR="005E5204" w:rsidRPr="00E73B4B">
        <w:t xml:space="preserve">estrategias implementadas por </w:t>
      </w:r>
      <w:r w:rsidR="005E5204">
        <w:t xml:space="preserve">esa entidad </w:t>
      </w:r>
      <w:r w:rsidR="005E5204" w:rsidRPr="00E73B4B">
        <w:t>para avanzar en el trámite de las investigaciones</w:t>
      </w:r>
      <w:r w:rsidR="005E5204">
        <w:t xml:space="preserve"> </w:t>
      </w:r>
      <w:r w:rsidR="005E5204" w:rsidRPr="00E73B4B">
        <w:t>penales relacionadas con los casos de los anexos</w:t>
      </w:r>
      <w:r w:rsidR="005E5204">
        <w:t xml:space="preserve"> reservados.</w:t>
      </w:r>
    </w:p>
    <w:p w14:paraId="172D85CD" w14:textId="77777777" w:rsidR="005E5204" w:rsidRPr="005E5204" w:rsidRDefault="005E5204" w:rsidP="005E5204">
      <w:pPr>
        <w:autoSpaceDE w:val="0"/>
        <w:autoSpaceDN w:val="0"/>
        <w:adjustRightInd w:val="0"/>
        <w:rPr>
          <w:rFonts w:eastAsiaTheme="minorHAnsi" w:cs="Times New Roman"/>
          <w:color w:val="000000"/>
          <w:szCs w:val="28"/>
        </w:rPr>
      </w:pPr>
    </w:p>
    <w:p w14:paraId="3A514B03" w14:textId="1A29746E" w:rsidR="005E5204" w:rsidRDefault="005E5204" w:rsidP="005E5204">
      <w:r w:rsidRPr="005E5204">
        <w:t>La primera estrategia</w:t>
      </w:r>
      <w:r>
        <w:t xml:space="preserve"> se dirigió a 172 casos no judicializados de</w:t>
      </w:r>
      <w:r w:rsidR="00DB7E90">
        <w:t xml:space="preserve"> </w:t>
      </w:r>
      <w:r>
        <w:t>l</w:t>
      </w:r>
      <w:r w:rsidR="00DB7E90">
        <w:t>os 442 casos de violencia sexual del</w:t>
      </w:r>
      <w:r>
        <w:t xml:space="preserve"> </w:t>
      </w:r>
      <w:r w:rsidRPr="005E5204">
        <w:rPr>
          <w:b/>
        </w:rPr>
        <w:t>Auto 009 de 2015</w:t>
      </w:r>
      <w:r w:rsidR="00DB7E90">
        <w:t xml:space="preserve">. Estos 172 casos fueron </w:t>
      </w:r>
      <w:r>
        <w:t>previamente identificados por la Fiscalía en el informe enviado a esta Sala Especial el 10 de abril de 2015. Para este propósito</w:t>
      </w:r>
      <w:r w:rsidR="00C833F1">
        <w:t>,</w:t>
      </w:r>
      <w:r>
        <w:t xml:space="preserve"> </w:t>
      </w:r>
      <w:r w:rsidR="0051267E">
        <w:t>la entidad indicó</w:t>
      </w:r>
      <w:r w:rsidR="00C833F1">
        <w:t xml:space="preserve"> que</w:t>
      </w:r>
      <w:r>
        <w:t xml:space="preserve"> elaboró un modelo de abordaje e investigación regional para la violencia sexual en el marco del conflicto armado, en el cual se implementaron acciones de priorización de los casos antes mencionados.</w:t>
      </w:r>
    </w:p>
    <w:p w14:paraId="13387439" w14:textId="77777777" w:rsidR="005E5204" w:rsidRDefault="005E5204" w:rsidP="005E5204"/>
    <w:p w14:paraId="5BB789FB" w14:textId="502240F2" w:rsidR="005E5204" w:rsidRDefault="005E5204" w:rsidP="005E5204">
      <w:r>
        <w:t xml:space="preserve">En el desarrollo de este modelo para la judicialización de los casos se asignaron fiscales especializados, se establecieron directrices sobre el deber de atender el artículo 14 de la Ley 1719 de 2015 para la investigación y se conformaron 4 equipos regionales de trabajo, cada uno compuesto por un fiscal especializado, un investigador y un psicólogo o trabajador social. </w:t>
      </w:r>
    </w:p>
    <w:p w14:paraId="38726670" w14:textId="77777777" w:rsidR="005E5204" w:rsidRDefault="005E5204" w:rsidP="005E5204"/>
    <w:p w14:paraId="2B353E7F" w14:textId="2369FC43" w:rsidR="005E5204" w:rsidRDefault="005E5204" w:rsidP="005E5204">
      <w:r>
        <w:t xml:space="preserve">El informe reportó, además, que los equipos de trabajo, con acompañamiento de algunas organizaciones sociales, realizaron un primer acercamiento con las víctimas que consistió en contactarlas y convocarlas para luego realizar sesiones de trabajo y entrevistas para la documentación de los casos. </w:t>
      </w:r>
    </w:p>
    <w:p w14:paraId="08F699DF" w14:textId="77777777" w:rsidR="005E5204" w:rsidRDefault="005E5204" w:rsidP="005E5204"/>
    <w:p w14:paraId="34AB5F96" w14:textId="2DDB4A5D" w:rsidR="005E5204" w:rsidRDefault="005E5204" w:rsidP="005E5204">
      <w:r>
        <w:t xml:space="preserve">En relación con esta estrategia la </w:t>
      </w:r>
      <w:r w:rsidR="00DB7E90">
        <w:t>Fiscalía</w:t>
      </w:r>
      <w:r>
        <w:t xml:space="preserve"> concluyó que </w:t>
      </w:r>
      <w:r w:rsidR="00DB7E90">
        <w:t>“</w:t>
      </w:r>
      <w:r w:rsidRPr="00DB7E90">
        <w:rPr>
          <w:i/>
        </w:rPr>
        <w:t xml:space="preserve">todos los casos </w:t>
      </w:r>
      <w:r w:rsidR="00DB7E90" w:rsidRPr="00DB7E90">
        <w:rPr>
          <w:i/>
        </w:rPr>
        <w:t xml:space="preserve">cuentan con </w:t>
      </w:r>
      <w:r w:rsidRPr="00DB7E90">
        <w:rPr>
          <w:i/>
        </w:rPr>
        <w:t xml:space="preserve">un proceso </w:t>
      </w:r>
      <w:r w:rsidR="00DB7E90" w:rsidRPr="00DB7E90">
        <w:rPr>
          <w:i/>
        </w:rPr>
        <w:t>en curso orientado por programas metodológicos de investigación que contemplan las hipótesis contenidas en la Ley 1719 de 2014 y que retoman las presunciones y constataciones de la Corte Constitucional en los Autos 092 de 2008 y 009 de 2015 respecto a la relación de los hechos de violencia sexual con el conflicto armado</w:t>
      </w:r>
      <w:r w:rsidR="00DB7E90">
        <w:t>”</w:t>
      </w:r>
      <w:r w:rsidR="00DB7E90">
        <w:rPr>
          <w:rStyle w:val="Refdenotaalpie"/>
        </w:rPr>
        <w:footnoteReference w:id="10"/>
      </w:r>
      <w:r w:rsidR="00DB7E90">
        <w:t xml:space="preserve"> </w:t>
      </w:r>
      <w:r>
        <w:t xml:space="preserve">y que se han adelantado una serie de gestiones para obtener más información sobre diferentes asuntos como la ubicación de víctimas y la reconstrucción de los contextos en los que se desarrollaron los hechos. </w:t>
      </w:r>
    </w:p>
    <w:p w14:paraId="66E6BAE7" w14:textId="77777777" w:rsidR="005E5204" w:rsidRDefault="005E5204" w:rsidP="005E5204"/>
    <w:p w14:paraId="2D7EC1FA" w14:textId="5DD4EE46" w:rsidR="005E5204" w:rsidRDefault="005E5204" w:rsidP="005E5204">
      <w:r>
        <w:t>Finalmente, el documento expuso que, de los 172 casos no judicializados, 166 fueron asignados a los equipos regionales de trabajo y, de ellos, realizaron 103 entrevistas. Sin embargo, la Fiscal</w:t>
      </w:r>
      <w:r w:rsidR="00DB7E90">
        <w:t>ía señaló</w:t>
      </w:r>
      <w:r>
        <w:t xml:space="preserve"> que no se pudo establecer la ubicación o identificación de 51 personas.</w:t>
      </w:r>
    </w:p>
    <w:p w14:paraId="5D5831C8" w14:textId="77777777" w:rsidR="00CD7013" w:rsidRPr="00CE05D5" w:rsidRDefault="00CD7013" w:rsidP="005E5204"/>
    <w:p w14:paraId="1B7AB454" w14:textId="4D339834" w:rsidR="00CD7013" w:rsidRPr="00CE05D5" w:rsidRDefault="00B97A1A" w:rsidP="005E5204">
      <w:r>
        <w:t>No obstante</w:t>
      </w:r>
      <w:r w:rsidR="004C0E7E">
        <w:t xml:space="preserve">, para lo Corte no es </w:t>
      </w:r>
      <w:r w:rsidR="00CD7013" w:rsidRPr="00CE05D5">
        <w:t>claro</w:t>
      </w:r>
      <w:r w:rsidR="004C0E7E">
        <w:t xml:space="preserve"> </w:t>
      </w:r>
      <w:r w:rsidR="00CD7013" w:rsidRPr="00CE05D5">
        <w:t>cuál es el procedimiento a seguir respecto de: (i) los 6 casos a los que no se asignó equipo regional de trabajo; (ii)</w:t>
      </w:r>
      <w:r w:rsidR="003A1DFA">
        <w:t xml:space="preserve"> </w:t>
      </w:r>
      <w:r w:rsidR="00CD7013" w:rsidRPr="00CE05D5">
        <w:t>los 63 casos (de los 166 asignados) en los que no se realizó entrevista; y (iii) la</w:t>
      </w:r>
      <w:r w:rsidR="00F01721" w:rsidRPr="00CE05D5">
        <w:t>s 51 personas no iden</w:t>
      </w:r>
      <w:r w:rsidR="0051267E">
        <w:t>tificadas. Además, no se informó</w:t>
      </w:r>
      <w:r w:rsidR="004C0E7E">
        <w:t xml:space="preserve"> </w:t>
      </w:r>
      <w:r w:rsidR="00F01721" w:rsidRPr="00CE05D5">
        <w:t xml:space="preserve">cuántos de los 172 casos que </w:t>
      </w:r>
      <w:r w:rsidR="00F01721" w:rsidRPr="00CE05D5">
        <w:lastRenderedPageBreak/>
        <w:t>no habían sido judicializados en el informe remitido en 2015</w:t>
      </w:r>
      <w:r w:rsidR="007F44FB">
        <w:t>, sí</w:t>
      </w:r>
      <w:r w:rsidR="004C0E7E">
        <w:t xml:space="preserve"> lo han sido</w:t>
      </w:r>
      <w:r w:rsidR="00F01721" w:rsidRPr="00CE05D5">
        <w:t xml:space="preserve"> </w:t>
      </w:r>
      <w:r w:rsidR="004C0E7E">
        <w:t xml:space="preserve">para este momento. </w:t>
      </w:r>
      <w:r w:rsidR="00CD7013" w:rsidRPr="00CE05D5">
        <w:t>Por tal razón, se solicitará a la Fiscalía General de la Naci</w:t>
      </w:r>
      <w:r w:rsidR="00767C87" w:rsidRPr="00CE05D5">
        <w:t xml:space="preserve">ón </w:t>
      </w:r>
      <w:r w:rsidR="004C0E7E">
        <w:t xml:space="preserve">aclarar </w:t>
      </w:r>
      <w:r w:rsidR="002B026B" w:rsidRPr="00CE05D5">
        <w:t>este asunto.</w:t>
      </w:r>
    </w:p>
    <w:p w14:paraId="0A6E97BC" w14:textId="77777777" w:rsidR="005E5204" w:rsidRDefault="005E5204" w:rsidP="005E5204"/>
    <w:p w14:paraId="1734A55E" w14:textId="7B6C6599" w:rsidR="00515A3A" w:rsidRDefault="005E5204" w:rsidP="003A7DB8">
      <w:pPr>
        <w:pStyle w:val="Prrafodelista"/>
        <w:numPr>
          <w:ilvl w:val="0"/>
          <w:numId w:val="28"/>
        </w:numPr>
        <w:ind w:left="0" w:firstLine="0"/>
      </w:pPr>
      <w:r>
        <w:t xml:space="preserve">Por otro lado, </w:t>
      </w:r>
      <w:r w:rsidRPr="00515A3A">
        <w:t>la segunda estrategia</w:t>
      </w:r>
      <w:r>
        <w:t xml:space="preserve"> </w:t>
      </w:r>
      <w:r w:rsidR="00515A3A">
        <w:t xml:space="preserve">de la Fiscalía </w:t>
      </w:r>
      <w:r>
        <w:t xml:space="preserve">se refirió a la concentración de las investigaciones, específicamente, para los 183 casos incluidos en el </w:t>
      </w:r>
      <w:r w:rsidRPr="00490892">
        <w:rPr>
          <w:b/>
        </w:rPr>
        <w:t>Auto 092 de 2008</w:t>
      </w:r>
      <w:r>
        <w:t xml:space="preserve">. </w:t>
      </w:r>
      <w:r w:rsidR="004C0E7E">
        <w:t>La entidad afirmó que e</w:t>
      </w:r>
      <w:r w:rsidR="00515A3A">
        <w:t xml:space="preserve">n esta estrategia </w:t>
      </w:r>
      <w:r w:rsidR="004C0E7E">
        <w:t xml:space="preserve">actualmente </w:t>
      </w:r>
      <w:r w:rsidR="00490892">
        <w:t>adelanta</w:t>
      </w:r>
      <w:r>
        <w:t xml:space="preserve"> 27 investigaciones a través de </w:t>
      </w:r>
      <w:r w:rsidR="004C0E7E">
        <w:t>cuatro</w:t>
      </w:r>
      <w:r>
        <w:t xml:space="preserve"> fiscales, </w:t>
      </w:r>
      <w:r w:rsidR="00515A3A">
        <w:t>y precisó que “</w:t>
      </w:r>
      <w:r w:rsidR="00515A3A" w:rsidRPr="00515A3A">
        <w:rPr>
          <w:i/>
        </w:rPr>
        <w:t xml:space="preserve">se ha considerado importante que los fiscales delegados que conocen de las investigaciones relacionadas con los hechos que constan en el anexo reservado del Auto 092 de 2008, conozcan también de los casos del Auto 009 de 2015, pues de esta forma se garantiza una especialización sobre la </w:t>
      </w:r>
      <w:proofErr w:type="spellStart"/>
      <w:r w:rsidR="00515A3A" w:rsidRPr="00515A3A">
        <w:rPr>
          <w:i/>
        </w:rPr>
        <w:t>interseccionalidad</w:t>
      </w:r>
      <w:proofErr w:type="spellEnd"/>
      <w:r w:rsidR="00515A3A" w:rsidRPr="00515A3A">
        <w:rPr>
          <w:i/>
        </w:rPr>
        <w:t xml:space="preserve"> con la que se perpetró este tipo de violencia, la cual ha tenido lugar tanto en el marco del desplazamiento forzado, como en el del liderazgo social</w:t>
      </w:r>
      <w:r w:rsidR="00515A3A">
        <w:rPr>
          <w:i/>
        </w:rPr>
        <w:t>”</w:t>
      </w:r>
      <w:r w:rsidR="00515A3A">
        <w:rPr>
          <w:rStyle w:val="Refdenotaalpie"/>
          <w:i/>
        </w:rPr>
        <w:footnoteReference w:id="11"/>
      </w:r>
      <w:r w:rsidR="00515A3A" w:rsidRPr="00515A3A">
        <w:t>.</w:t>
      </w:r>
    </w:p>
    <w:p w14:paraId="2697547E" w14:textId="77777777" w:rsidR="00767C87" w:rsidRPr="00CE05D5" w:rsidRDefault="00767C87" w:rsidP="00767C87">
      <w:pPr>
        <w:pStyle w:val="Prrafodelista"/>
        <w:ind w:left="0"/>
      </w:pPr>
    </w:p>
    <w:p w14:paraId="61C5FD75" w14:textId="4F62E50C" w:rsidR="00767C87" w:rsidRPr="00CE05D5" w:rsidRDefault="00427736" w:rsidP="00767C87">
      <w:pPr>
        <w:pStyle w:val="Prrafodelista"/>
        <w:ind w:left="0"/>
      </w:pPr>
      <w:r>
        <w:t>Con todo</w:t>
      </w:r>
      <w:r w:rsidR="004C0E7E">
        <w:t>, no es claro</w:t>
      </w:r>
      <w:r w:rsidR="00767C87" w:rsidRPr="00CE05D5">
        <w:t xml:space="preserve"> si, en efecto, los fiscales que investigan los casos del </w:t>
      </w:r>
      <w:r w:rsidR="00767C87" w:rsidRPr="00CE05D5">
        <w:rPr>
          <w:b/>
        </w:rPr>
        <w:t>Auto 092 de 2008</w:t>
      </w:r>
      <w:r w:rsidR="00767C87" w:rsidRPr="00CE05D5">
        <w:t xml:space="preserve"> tienen asignados los casos del </w:t>
      </w:r>
      <w:r w:rsidR="00767C87" w:rsidRPr="00CE05D5">
        <w:rPr>
          <w:b/>
        </w:rPr>
        <w:t>Auto 009 de 2015</w:t>
      </w:r>
      <w:r w:rsidR="00767C87" w:rsidRPr="00CE05D5">
        <w:t xml:space="preserve"> y cu</w:t>
      </w:r>
      <w:r w:rsidR="00A90E16" w:rsidRPr="00CE05D5">
        <w:t>ántos de ellos, por lo cual se solicitará información sobre ello a la Fiscalía.</w:t>
      </w:r>
    </w:p>
    <w:p w14:paraId="6DE7C421" w14:textId="77777777" w:rsidR="00767C87" w:rsidRPr="00C833F1" w:rsidRDefault="00767C87" w:rsidP="006150B5">
      <w:pPr>
        <w:pStyle w:val="Prrafodelista"/>
        <w:ind w:left="0"/>
        <w:jc w:val="right"/>
        <w:rPr>
          <w:color w:val="538135" w:themeColor="accent6" w:themeShade="BF"/>
        </w:rPr>
      </w:pPr>
    </w:p>
    <w:p w14:paraId="1509961B" w14:textId="6B73F2C4" w:rsidR="001D4393" w:rsidRDefault="005E5204" w:rsidP="003A7DB8">
      <w:pPr>
        <w:pStyle w:val="Prrafodelista"/>
        <w:numPr>
          <w:ilvl w:val="0"/>
          <w:numId w:val="28"/>
        </w:numPr>
        <w:ind w:left="0" w:firstLine="0"/>
      </w:pPr>
      <w:r w:rsidRPr="001D4393">
        <w:t>La tercera estrategia</w:t>
      </w:r>
      <w:r>
        <w:t xml:space="preserve"> consistió en la asociación de casos de manera que se</w:t>
      </w:r>
      <w:r w:rsidR="003A1DFA">
        <w:t xml:space="preserve"> </w:t>
      </w:r>
      <w:r>
        <w:t xml:space="preserve">relacionen los hechos de los </w:t>
      </w:r>
      <w:r w:rsidRPr="001D4393">
        <w:rPr>
          <w:b/>
        </w:rPr>
        <w:t xml:space="preserve">Autos 092 </w:t>
      </w:r>
      <w:r w:rsidR="007725FB" w:rsidRPr="001D4393">
        <w:rPr>
          <w:b/>
        </w:rPr>
        <w:t xml:space="preserve">de 2008 </w:t>
      </w:r>
      <w:r w:rsidRPr="001D4393">
        <w:t xml:space="preserve">y </w:t>
      </w:r>
      <w:r w:rsidRPr="001D4393">
        <w:rPr>
          <w:b/>
        </w:rPr>
        <w:t>009</w:t>
      </w:r>
      <w:r w:rsidR="007725FB" w:rsidRPr="001D4393">
        <w:rPr>
          <w:b/>
        </w:rPr>
        <w:t xml:space="preserve"> del 2015</w:t>
      </w:r>
      <w:r>
        <w:t xml:space="preserve">. Como resultado de la implementación de esta estrategia el informe resaltó la asociación de 128 casos (de los 874 de los que conoce la Dirección de Apoyo para la Investigación y Análisis contra la Criminalidad Organizada de la FGN) a través de 7 situaciones identificadas previamente. </w:t>
      </w:r>
    </w:p>
    <w:p w14:paraId="70C2F48F" w14:textId="77777777" w:rsidR="001D4393" w:rsidRDefault="001D4393" w:rsidP="005E1926">
      <w:pPr>
        <w:pStyle w:val="Prrafodelista"/>
        <w:ind w:left="0"/>
      </w:pPr>
    </w:p>
    <w:p w14:paraId="1CFB8E79" w14:textId="484E181D" w:rsidR="005E5204" w:rsidRDefault="001D4393" w:rsidP="003A7DB8">
      <w:pPr>
        <w:pStyle w:val="Prrafodelista"/>
        <w:numPr>
          <w:ilvl w:val="0"/>
          <w:numId w:val="28"/>
        </w:numPr>
        <w:ind w:left="0" w:firstLine="0"/>
      </w:pPr>
      <w:r w:rsidRPr="001D4393">
        <w:t>L</w:t>
      </w:r>
      <w:r w:rsidR="005E5204" w:rsidRPr="001D4393">
        <w:t>a cuarta estrategia</w:t>
      </w:r>
      <w:r w:rsidR="005E5204">
        <w:t xml:space="preserve"> </w:t>
      </w:r>
      <w:r w:rsidR="005E1926">
        <w:t>se refiere a</w:t>
      </w:r>
      <w:r w:rsidR="005E5204">
        <w:t xml:space="preserve"> una herramienta investigativa denominada “</w:t>
      </w:r>
      <w:r w:rsidR="005E5204" w:rsidRPr="001D4393">
        <w:rPr>
          <w:i/>
        </w:rPr>
        <w:t>caracterización de los contextos</w:t>
      </w:r>
      <w:r>
        <w:t>” que permite</w:t>
      </w:r>
      <w:r w:rsidR="005E5204">
        <w:t xml:space="preserve"> identificar situaciones</w:t>
      </w:r>
      <w:r w:rsidR="003A1DFA">
        <w:t xml:space="preserve"> </w:t>
      </w:r>
      <w:r w:rsidR="005E5204">
        <w:t>que delimitan lo</w:t>
      </w:r>
      <w:r>
        <w:t>s</w:t>
      </w:r>
      <w:r w:rsidR="005E5204">
        <w:t xml:space="preserve"> escenarios de los hechos punibles y las modalidades de agresión en cada uno de ellos, de manera que se puede</w:t>
      </w:r>
      <w:r>
        <w:t>n</w:t>
      </w:r>
      <w:r w:rsidR="005E5204">
        <w:t xml:space="preserve"> documentar y caracterizar los patrones, modalidades y finalidades de los crímenes de violencia sexual basados en el género. </w:t>
      </w:r>
      <w:r>
        <w:t xml:space="preserve">Con relación a las mujeres implicadas en el </w:t>
      </w:r>
      <w:r w:rsidRPr="001D4393">
        <w:rPr>
          <w:b/>
        </w:rPr>
        <w:t>Auto 009 de 2015</w:t>
      </w:r>
      <w:r>
        <w:t>, el informe de la Fiscalía identificó las siguientes situaciones:</w:t>
      </w:r>
    </w:p>
    <w:p w14:paraId="71CA57A7" w14:textId="77777777" w:rsidR="001D4393" w:rsidRDefault="001D4393" w:rsidP="001D4393">
      <w:pPr>
        <w:pStyle w:val="Prrafodelista"/>
        <w:ind w:left="0"/>
      </w:pPr>
    </w:p>
    <w:p w14:paraId="13C02A24" w14:textId="114E0E7D" w:rsidR="001D4393" w:rsidRPr="00AB5B1A" w:rsidRDefault="001D4393" w:rsidP="00AB5B1A">
      <w:pPr>
        <w:autoSpaceDE w:val="0"/>
        <w:autoSpaceDN w:val="0"/>
        <w:adjustRightInd w:val="0"/>
        <w:ind w:left="709" w:right="902"/>
        <w:rPr>
          <w:rFonts w:eastAsiaTheme="minorHAnsi" w:cs="Times New Roman"/>
          <w:i/>
          <w:sz w:val="24"/>
          <w:szCs w:val="24"/>
        </w:rPr>
      </w:pPr>
      <w:r w:rsidRPr="00AB5B1A">
        <w:rPr>
          <w:rFonts w:eastAsiaTheme="minorHAnsi" w:cs="Times New Roman"/>
          <w:i/>
          <w:sz w:val="24"/>
          <w:szCs w:val="24"/>
        </w:rPr>
        <w:t xml:space="preserve"> “(i) Violencia sexual y desplazamientos de mujeres en la zona de influencia del Bloque Sur de las FARC-EP en el bajo Putumayo y el municipio de </w:t>
      </w:r>
      <w:proofErr w:type="spellStart"/>
      <w:r w:rsidRPr="00AB5B1A">
        <w:rPr>
          <w:rFonts w:eastAsiaTheme="minorHAnsi" w:cs="Times New Roman"/>
          <w:i/>
          <w:sz w:val="24"/>
          <w:szCs w:val="24"/>
        </w:rPr>
        <w:t>Puerres</w:t>
      </w:r>
      <w:proofErr w:type="spellEnd"/>
      <w:r w:rsidRPr="00AB5B1A">
        <w:rPr>
          <w:rFonts w:eastAsiaTheme="minorHAnsi" w:cs="Times New Roman"/>
          <w:i/>
          <w:sz w:val="24"/>
          <w:szCs w:val="24"/>
        </w:rPr>
        <w:t>, en el departamento de Nariño (1993-2012).</w:t>
      </w:r>
    </w:p>
    <w:p w14:paraId="68953785" w14:textId="77777777" w:rsidR="001D4393" w:rsidRPr="00AB5B1A" w:rsidRDefault="001D4393" w:rsidP="00AB5B1A">
      <w:pPr>
        <w:autoSpaceDE w:val="0"/>
        <w:autoSpaceDN w:val="0"/>
        <w:adjustRightInd w:val="0"/>
        <w:ind w:left="709" w:right="902"/>
        <w:rPr>
          <w:rFonts w:eastAsiaTheme="minorHAnsi" w:cs="Times New Roman"/>
          <w:i/>
          <w:sz w:val="24"/>
          <w:szCs w:val="24"/>
        </w:rPr>
      </w:pPr>
    </w:p>
    <w:p w14:paraId="51E86F8A" w14:textId="354EE86F" w:rsidR="001D4393" w:rsidRPr="00AB5B1A" w:rsidRDefault="001D4393" w:rsidP="00AB5B1A">
      <w:pPr>
        <w:autoSpaceDE w:val="0"/>
        <w:autoSpaceDN w:val="0"/>
        <w:adjustRightInd w:val="0"/>
        <w:ind w:left="709" w:right="902"/>
        <w:rPr>
          <w:rFonts w:eastAsiaTheme="minorHAnsi" w:cs="Times New Roman"/>
          <w:i/>
          <w:sz w:val="24"/>
          <w:szCs w:val="24"/>
        </w:rPr>
      </w:pPr>
      <w:r w:rsidRPr="00AB5B1A">
        <w:rPr>
          <w:rFonts w:eastAsiaTheme="minorHAnsi" w:cs="Times New Roman"/>
          <w:i/>
          <w:sz w:val="24"/>
          <w:szCs w:val="24"/>
        </w:rPr>
        <w:t>(ii) Violencia sexual en la zona de influencia del Bloque de Occidente de las FARC-EP en el departamento de Nariño y el municipio de Patía en Cauca (1993-2012).</w:t>
      </w:r>
    </w:p>
    <w:p w14:paraId="6F44478C" w14:textId="77777777" w:rsidR="001D4393" w:rsidRPr="00AB5B1A" w:rsidRDefault="001D4393" w:rsidP="00AB5B1A">
      <w:pPr>
        <w:autoSpaceDE w:val="0"/>
        <w:autoSpaceDN w:val="0"/>
        <w:adjustRightInd w:val="0"/>
        <w:ind w:left="709" w:right="902"/>
        <w:rPr>
          <w:rFonts w:eastAsiaTheme="minorHAnsi" w:cs="Times New Roman"/>
          <w:i/>
          <w:sz w:val="24"/>
          <w:szCs w:val="24"/>
        </w:rPr>
      </w:pPr>
    </w:p>
    <w:p w14:paraId="5718F234" w14:textId="3500E9A7" w:rsidR="001D4393" w:rsidRPr="00AB5B1A" w:rsidRDefault="001D4393" w:rsidP="00AB5B1A">
      <w:pPr>
        <w:autoSpaceDE w:val="0"/>
        <w:autoSpaceDN w:val="0"/>
        <w:adjustRightInd w:val="0"/>
        <w:ind w:left="709" w:right="902"/>
        <w:rPr>
          <w:rFonts w:eastAsiaTheme="minorHAnsi" w:cs="Times New Roman"/>
          <w:i/>
          <w:sz w:val="24"/>
          <w:szCs w:val="24"/>
        </w:rPr>
      </w:pPr>
      <w:r w:rsidRPr="00AB5B1A">
        <w:rPr>
          <w:rFonts w:eastAsiaTheme="minorHAnsi" w:cs="Times New Roman"/>
          <w:i/>
          <w:sz w:val="24"/>
          <w:szCs w:val="24"/>
        </w:rPr>
        <w:t>(iii) Violencia sexual contra mujeres en el norte del país, en los departamentos de Bolívar, Magdalena y Sucre, presuntamente perpetrada por las FARC-EP (1990-2006).</w:t>
      </w:r>
    </w:p>
    <w:p w14:paraId="034F8172" w14:textId="77777777" w:rsidR="001D4393" w:rsidRPr="00AB5B1A" w:rsidRDefault="001D4393" w:rsidP="00AB5B1A">
      <w:pPr>
        <w:autoSpaceDE w:val="0"/>
        <w:autoSpaceDN w:val="0"/>
        <w:adjustRightInd w:val="0"/>
        <w:ind w:left="709" w:right="902"/>
        <w:rPr>
          <w:rFonts w:eastAsiaTheme="minorHAnsi" w:cs="Times New Roman"/>
          <w:i/>
          <w:sz w:val="24"/>
          <w:szCs w:val="24"/>
        </w:rPr>
      </w:pPr>
    </w:p>
    <w:p w14:paraId="7A918A7D" w14:textId="2B2B81F9" w:rsidR="001D4393" w:rsidRPr="00AB5B1A" w:rsidRDefault="001D4393" w:rsidP="00AB5B1A">
      <w:pPr>
        <w:autoSpaceDE w:val="0"/>
        <w:autoSpaceDN w:val="0"/>
        <w:adjustRightInd w:val="0"/>
        <w:ind w:left="709" w:right="902"/>
        <w:rPr>
          <w:rFonts w:eastAsiaTheme="minorHAnsi" w:cs="Times New Roman"/>
          <w:i/>
          <w:sz w:val="24"/>
          <w:szCs w:val="24"/>
        </w:rPr>
      </w:pPr>
      <w:r w:rsidRPr="00AB5B1A">
        <w:rPr>
          <w:rFonts w:eastAsiaTheme="minorHAnsi" w:cs="Times New Roman"/>
          <w:i/>
          <w:sz w:val="24"/>
          <w:szCs w:val="24"/>
        </w:rPr>
        <w:lastRenderedPageBreak/>
        <w:t xml:space="preserve">En el marco de reconocimiento de estas situaciones, en las que se identifican, documentan y caracterizan los patrones, modalidades y finalidades de los crímenes de violencia sexual basada en género atribuibles a las FARC-EP, fue posible establecer dos escenarios diferenciados en los que fueron cometidos os hechos punibles, así: (a) </w:t>
      </w:r>
      <w:proofErr w:type="spellStart"/>
      <w:r w:rsidRPr="00AB5B1A">
        <w:rPr>
          <w:rFonts w:eastAsiaTheme="minorHAnsi" w:cs="Times New Roman"/>
          <w:i/>
          <w:sz w:val="24"/>
          <w:szCs w:val="24"/>
        </w:rPr>
        <w:t>intrafilas</w:t>
      </w:r>
      <w:proofErr w:type="spellEnd"/>
      <w:r w:rsidRPr="00AB5B1A">
        <w:rPr>
          <w:rFonts w:eastAsiaTheme="minorHAnsi" w:cs="Times New Roman"/>
          <w:i/>
          <w:sz w:val="24"/>
          <w:szCs w:val="24"/>
        </w:rPr>
        <w:t xml:space="preserve"> en contra de mujeres y niñas al interior de la organización, y (b) en contra de la población civil”</w:t>
      </w:r>
      <w:r w:rsidRPr="00AB5B1A">
        <w:rPr>
          <w:rStyle w:val="Refdenotaalpie"/>
          <w:rFonts w:eastAsiaTheme="minorHAnsi" w:cs="Times New Roman"/>
          <w:i/>
          <w:sz w:val="24"/>
          <w:szCs w:val="24"/>
        </w:rPr>
        <w:footnoteReference w:id="12"/>
      </w:r>
      <w:r w:rsidRPr="00AB5B1A">
        <w:rPr>
          <w:rFonts w:eastAsiaTheme="minorHAnsi" w:cs="Times New Roman"/>
          <w:i/>
          <w:sz w:val="24"/>
          <w:szCs w:val="24"/>
        </w:rPr>
        <w:t>.</w:t>
      </w:r>
    </w:p>
    <w:p w14:paraId="695F7704" w14:textId="77777777" w:rsidR="001D4393" w:rsidRDefault="001D4393" w:rsidP="001D4393">
      <w:pPr>
        <w:pStyle w:val="Prrafodelista"/>
        <w:ind w:left="0"/>
      </w:pPr>
    </w:p>
    <w:p w14:paraId="30FA7AE3" w14:textId="31009639" w:rsidR="00DF4CAF" w:rsidRDefault="001D4393" w:rsidP="003A7DB8">
      <w:pPr>
        <w:pStyle w:val="Prrafodelista"/>
        <w:numPr>
          <w:ilvl w:val="0"/>
          <w:numId w:val="28"/>
        </w:numPr>
        <w:ind w:left="0" w:firstLine="0"/>
      </w:pPr>
      <w:r>
        <w:t>La quinta estrategia de la Fiscalía consistió en</w:t>
      </w:r>
      <w:r w:rsidR="003A1DFA">
        <w:t xml:space="preserve"> </w:t>
      </w:r>
      <w:r w:rsidR="005E5204">
        <w:t>la conformación de un subcomité de articulación para la investigación y judicialización de la violencia sexual ocurrida en el marco del conflicto armado.</w:t>
      </w:r>
      <w:r w:rsidR="003A1DFA">
        <w:t xml:space="preserve"> </w:t>
      </w:r>
      <w:r w:rsidR="00DF4CAF">
        <w:t>Los avances de este comité, entre otros</w:t>
      </w:r>
      <w:r w:rsidR="005E5204">
        <w:t xml:space="preserve">, </w:t>
      </w:r>
      <w:r w:rsidR="00DF4CAF">
        <w:t xml:space="preserve">son: </w:t>
      </w:r>
      <w:r w:rsidR="00DF4CAF" w:rsidRPr="005E1926">
        <w:rPr>
          <w:rFonts w:eastAsiaTheme="minorHAnsi" w:cs="Times New Roman"/>
          <w:i/>
          <w:szCs w:val="24"/>
        </w:rPr>
        <w:t>“(vi) realización de seguimiento general a los casos de los Autos 092 de 2008 y 009 de 2015; y (vii) realización de sesiones de trabajo con la Procuraduría General de la Nación para iniciar la revisión del estado de los casos de los autos”</w:t>
      </w:r>
      <w:r w:rsidR="00DF4CAF">
        <w:rPr>
          <w:rStyle w:val="Refdenotaalpie"/>
          <w:rFonts w:eastAsiaTheme="minorHAnsi" w:cs="Times New Roman"/>
          <w:i/>
          <w:szCs w:val="24"/>
        </w:rPr>
        <w:footnoteReference w:id="13"/>
      </w:r>
      <w:r w:rsidR="00DF4CAF" w:rsidRPr="005E1926">
        <w:rPr>
          <w:rFonts w:eastAsiaTheme="minorHAnsi" w:cs="Times New Roman"/>
          <w:i/>
          <w:szCs w:val="24"/>
        </w:rPr>
        <w:t>.</w:t>
      </w:r>
    </w:p>
    <w:p w14:paraId="58505C18" w14:textId="77777777" w:rsidR="00DF4CAF" w:rsidRDefault="00DF4CAF" w:rsidP="005E5204"/>
    <w:p w14:paraId="21C48BDB" w14:textId="1FF9D541" w:rsidR="00FD4570" w:rsidRDefault="00E04B30" w:rsidP="00095D69">
      <w:pPr>
        <w:pStyle w:val="Prrafodelista"/>
        <w:ind w:left="0"/>
      </w:pPr>
      <w:r>
        <w:t xml:space="preserve">Con relación al estado procesal, la Fiscalía General </w:t>
      </w:r>
      <w:r w:rsidR="00634634">
        <w:t>aportó esta información según el sistema de procedimiento penal de cada caso, la etapa procesal en qu</w:t>
      </w:r>
      <w:r w:rsidR="00427736">
        <w:t>e</w:t>
      </w:r>
      <w:r w:rsidR="00634634">
        <w:t xml:space="preserve"> se encuentra y si se encuentran activos, inactivos o con número único de noticia criminal (NUNC) y respecto de las cuales no se puede determinar el estado de la investigación. </w:t>
      </w:r>
    </w:p>
    <w:p w14:paraId="13591000" w14:textId="77777777" w:rsidR="00FD4570" w:rsidRDefault="00FD4570" w:rsidP="00FD4570">
      <w:pPr>
        <w:pStyle w:val="Prrafodelista"/>
        <w:ind w:left="0"/>
      </w:pPr>
    </w:p>
    <w:p w14:paraId="5AC78340" w14:textId="1D665ADF" w:rsidR="00FD4570" w:rsidRDefault="005E1926" w:rsidP="006C1629">
      <w:pPr>
        <w:spacing w:after="160" w:line="259" w:lineRule="auto"/>
      </w:pPr>
      <w:r>
        <w:t xml:space="preserve">Así mismo, </w:t>
      </w:r>
      <w:r w:rsidR="00E73CBA">
        <w:t>reportó</w:t>
      </w:r>
      <w:r w:rsidR="00FD4570">
        <w:t xml:space="preserve"> información sobre 228 casos del </w:t>
      </w:r>
      <w:r w:rsidR="00FD4570" w:rsidRPr="00FD4570">
        <w:rPr>
          <w:b/>
        </w:rPr>
        <w:t>Auto 092 de 2008</w:t>
      </w:r>
      <w:r>
        <w:t xml:space="preserve"> pero</w:t>
      </w:r>
      <w:r w:rsidR="00FD4570">
        <w:t xml:space="preserve"> no sobre los 183 que hacen parte de su anexo reservado; mientras que, con relación al </w:t>
      </w:r>
      <w:r w:rsidR="00FD4570" w:rsidRPr="00FD4570">
        <w:rPr>
          <w:b/>
        </w:rPr>
        <w:t>Auto 009 de 2015</w:t>
      </w:r>
      <w:r w:rsidR="00FD4570">
        <w:t xml:space="preserve">, </w:t>
      </w:r>
      <w:r w:rsidR="00E73CBA">
        <w:t>inform</w:t>
      </w:r>
      <w:r>
        <w:t>ó</w:t>
      </w:r>
      <w:r w:rsidR="00E73CBA">
        <w:t xml:space="preserve"> acerca</w:t>
      </w:r>
      <w:r w:rsidR="00FD4570">
        <w:t xml:space="preserve"> de 402 casos, y no de los 442 de su anexo reservado</w:t>
      </w:r>
      <w:r w:rsidR="00EE6FD7">
        <w:t>,</w:t>
      </w:r>
      <w:r w:rsidR="00FD4570" w:rsidRPr="00B76B8F">
        <w:t xml:space="preserve"> </w:t>
      </w:r>
      <w:r w:rsidR="00EE6FD7">
        <w:t>p</w:t>
      </w:r>
      <w:r w:rsidR="00FD4570" w:rsidRPr="00B76B8F">
        <w:t>or lo anterior, se le solicitará aclarar tal situación.</w:t>
      </w:r>
    </w:p>
    <w:p w14:paraId="48F117AE" w14:textId="60F08C1D" w:rsidR="006C1629" w:rsidRDefault="00E73CBA" w:rsidP="00F652DD">
      <w:r>
        <w:t>A continuación, se transcriben dos tablas que presentó l</w:t>
      </w:r>
      <w:r w:rsidR="00F652DD">
        <w:t>a Fiscalía General de la Nación</w:t>
      </w:r>
      <w:r>
        <w:t xml:space="preserve"> con las investigaciones relacionadas con los casos de los anexos reservados de ambos autos</w:t>
      </w:r>
      <w:r w:rsidR="00F652DD">
        <w:t xml:space="preserve">. </w:t>
      </w:r>
    </w:p>
    <w:p w14:paraId="2D2455D6" w14:textId="77777777" w:rsidR="006C1629" w:rsidRDefault="006C1629" w:rsidP="00FD4570"/>
    <w:p w14:paraId="50CCEDC5" w14:textId="248DDB4E" w:rsidR="006C1629" w:rsidRPr="00F652DD" w:rsidRDefault="00636984" w:rsidP="00F652DD">
      <w:pPr>
        <w:autoSpaceDE w:val="0"/>
        <w:autoSpaceDN w:val="0"/>
        <w:adjustRightInd w:val="0"/>
        <w:rPr>
          <w:rFonts w:eastAsiaTheme="minorHAnsi" w:cs="Times New Roman"/>
          <w:b/>
          <w:bCs/>
          <w:szCs w:val="28"/>
        </w:rPr>
      </w:pPr>
      <w:r>
        <w:rPr>
          <w:rFonts w:eastAsiaTheme="minorHAnsi" w:cs="Times New Roman"/>
          <w:b/>
          <w:bCs/>
          <w:szCs w:val="28"/>
        </w:rPr>
        <w:t>Tabla 1</w:t>
      </w:r>
      <w:r w:rsidR="00F652DD" w:rsidRPr="00F652DD">
        <w:rPr>
          <w:rFonts w:eastAsiaTheme="minorHAnsi" w:cs="Times New Roman"/>
          <w:b/>
          <w:bCs/>
          <w:szCs w:val="28"/>
        </w:rPr>
        <w:t>. Investigaciones relacionadas con los casos incluidos en el anexo reservado del Auto 092 de 2008, discriminado por etapa procesal, estado y sistema de procedimiento penal</w:t>
      </w:r>
      <w:r w:rsidR="00F652DD">
        <w:rPr>
          <w:rStyle w:val="Refdenotaalpie"/>
          <w:rFonts w:eastAsiaTheme="minorHAnsi" w:cs="Times New Roman"/>
          <w:b/>
          <w:bCs/>
          <w:szCs w:val="28"/>
        </w:rPr>
        <w:footnoteReference w:id="14"/>
      </w:r>
      <w:r w:rsidR="00F652DD">
        <w:rPr>
          <w:rFonts w:eastAsiaTheme="minorHAnsi" w:cs="Times New Roman"/>
          <w:b/>
          <w:bCs/>
          <w:szCs w:val="28"/>
        </w:rPr>
        <w:t>.</w:t>
      </w:r>
    </w:p>
    <w:p w14:paraId="25A1443D" w14:textId="77777777" w:rsidR="00F652DD" w:rsidRDefault="00F652DD" w:rsidP="00F652DD"/>
    <w:tbl>
      <w:tblPr>
        <w:tblStyle w:val="Tablaconcuadrcula"/>
        <w:tblW w:w="0" w:type="auto"/>
        <w:tblLook w:val="04A0" w:firstRow="1" w:lastRow="0" w:firstColumn="1" w:lastColumn="0" w:noHBand="0" w:noVBand="1"/>
      </w:tblPr>
      <w:tblGrid>
        <w:gridCol w:w="1943"/>
        <w:gridCol w:w="1750"/>
        <w:gridCol w:w="1730"/>
        <w:gridCol w:w="1710"/>
        <w:gridCol w:w="1697"/>
      </w:tblGrid>
      <w:tr w:rsidR="006C1629" w:rsidRPr="006C1629" w14:paraId="24E7D753" w14:textId="77777777" w:rsidTr="006C1629">
        <w:tc>
          <w:tcPr>
            <w:tcW w:w="1943" w:type="dxa"/>
            <w:shd w:val="clear" w:color="auto" w:fill="BFBFBF" w:themeFill="background1" w:themeFillShade="BF"/>
          </w:tcPr>
          <w:p w14:paraId="3EDF9EE4" w14:textId="5F7D2833" w:rsidR="006C1629" w:rsidRPr="006C1629" w:rsidRDefault="006C1629" w:rsidP="006C1629">
            <w:pPr>
              <w:jc w:val="center"/>
              <w:rPr>
                <w:b/>
                <w:sz w:val="24"/>
                <w:szCs w:val="24"/>
              </w:rPr>
            </w:pPr>
            <w:r w:rsidRPr="006C1629">
              <w:rPr>
                <w:b/>
                <w:sz w:val="24"/>
                <w:szCs w:val="24"/>
              </w:rPr>
              <w:t>Sistema de procedimiento penal</w:t>
            </w:r>
          </w:p>
        </w:tc>
        <w:tc>
          <w:tcPr>
            <w:tcW w:w="1750" w:type="dxa"/>
            <w:shd w:val="clear" w:color="auto" w:fill="BFBFBF" w:themeFill="background1" w:themeFillShade="BF"/>
          </w:tcPr>
          <w:p w14:paraId="23DF5F81" w14:textId="5F7C0E62" w:rsidR="006C1629" w:rsidRPr="006C1629" w:rsidRDefault="006C1629" w:rsidP="006C1629">
            <w:pPr>
              <w:jc w:val="center"/>
              <w:rPr>
                <w:b/>
                <w:sz w:val="24"/>
                <w:szCs w:val="24"/>
              </w:rPr>
            </w:pPr>
            <w:r w:rsidRPr="006C1629">
              <w:rPr>
                <w:b/>
                <w:sz w:val="24"/>
                <w:szCs w:val="24"/>
              </w:rPr>
              <w:t>Etapa</w:t>
            </w:r>
          </w:p>
        </w:tc>
        <w:tc>
          <w:tcPr>
            <w:tcW w:w="1730" w:type="dxa"/>
            <w:shd w:val="clear" w:color="auto" w:fill="BFBFBF" w:themeFill="background1" w:themeFillShade="BF"/>
          </w:tcPr>
          <w:p w14:paraId="4B5FA710" w14:textId="5ADAE9BD" w:rsidR="006C1629" w:rsidRPr="006C1629" w:rsidRDefault="006C1629" w:rsidP="006C1629">
            <w:pPr>
              <w:jc w:val="center"/>
              <w:rPr>
                <w:b/>
                <w:sz w:val="24"/>
                <w:szCs w:val="24"/>
              </w:rPr>
            </w:pPr>
            <w:r w:rsidRPr="006C1629">
              <w:rPr>
                <w:b/>
                <w:sz w:val="24"/>
                <w:szCs w:val="24"/>
              </w:rPr>
              <w:t>Estado</w:t>
            </w:r>
          </w:p>
        </w:tc>
        <w:tc>
          <w:tcPr>
            <w:tcW w:w="3407" w:type="dxa"/>
            <w:gridSpan w:val="2"/>
            <w:shd w:val="clear" w:color="auto" w:fill="BFBFBF" w:themeFill="background1" w:themeFillShade="BF"/>
          </w:tcPr>
          <w:p w14:paraId="18663ABB" w14:textId="378DBF39" w:rsidR="006C1629" w:rsidRPr="006C1629" w:rsidRDefault="006C1629" w:rsidP="006C1629">
            <w:pPr>
              <w:jc w:val="center"/>
              <w:rPr>
                <w:b/>
                <w:sz w:val="24"/>
                <w:szCs w:val="24"/>
              </w:rPr>
            </w:pPr>
            <w:r w:rsidRPr="006C1629">
              <w:rPr>
                <w:b/>
                <w:sz w:val="24"/>
                <w:szCs w:val="24"/>
              </w:rPr>
              <w:t>No. de casos</w:t>
            </w:r>
          </w:p>
        </w:tc>
      </w:tr>
      <w:tr w:rsidR="00CE3ED7" w:rsidRPr="006C1629" w14:paraId="672B8E0E" w14:textId="77777777" w:rsidTr="006C1629">
        <w:trPr>
          <w:trHeight w:val="323"/>
        </w:trPr>
        <w:tc>
          <w:tcPr>
            <w:tcW w:w="1943" w:type="dxa"/>
            <w:vMerge w:val="restart"/>
          </w:tcPr>
          <w:p w14:paraId="6D3C5840" w14:textId="1B45E19D" w:rsidR="00CE3ED7" w:rsidRPr="006C1629" w:rsidRDefault="00CE3ED7" w:rsidP="00FD4570">
            <w:pPr>
              <w:rPr>
                <w:sz w:val="24"/>
                <w:szCs w:val="24"/>
              </w:rPr>
            </w:pPr>
            <w:r w:rsidRPr="006C1629">
              <w:rPr>
                <w:sz w:val="24"/>
                <w:szCs w:val="24"/>
              </w:rPr>
              <w:t>Ley 600 de 2000</w:t>
            </w:r>
          </w:p>
        </w:tc>
        <w:tc>
          <w:tcPr>
            <w:tcW w:w="1750" w:type="dxa"/>
            <w:vMerge w:val="restart"/>
          </w:tcPr>
          <w:p w14:paraId="3F128BEE" w14:textId="391C6009" w:rsidR="00CE3ED7" w:rsidRPr="006C1629" w:rsidRDefault="00CE3ED7" w:rsidP="00FD4570">
            <w:pPr>
              <w:rPr>
                <w:sz w:val="24"/>
                <w:szCs w:val="24"/>
              </w:rPr>
            </w:pPr>
            <w:r w:rsidRPr="006C1629">
              <w:rPr>
                <w:sz w:val="24"/>
                <w:szCs w:val="24"/>
              </w:rPr>
              <w:t>Investigación preliminar</w:t>
            </w:r>
          </w:p>
        </w:tc>
        <w:tc>
          <w:tcPr>
            <w:tcW w:w="1730" w:type="dxa"/>
          </w:tcPr>
          <w:p w14:paraId="458F0CE4" w14:textId="5E036644" w:rsidR="00CE3ED7" w:rsidRPr="006C1629" w:rsidRDefault="00CE3ED7" w:rsidP="00B30D08">
            <w:pPr>
              <w:jc w:val="center"/>
              <w:rPr>
                <w:sz w:val="24"/>
                <w:szCs w:val="24"/>
              </w:rPr>
            </w:pPr>
            <w:r w:rsidRPr="006C1629">
              <w:rPr>
                <w:sz w:val="24"/>
                <w:szCs w:val="24"/>
              </w:rPr>
              <w:t>Activo</w:t>
            </w:r>
          </w:p>
        </w:tc>
        <w:tc>
          <w:tcPr>
            <w:tcW w:w="1710" w:type="dxa"/>
          </w:tcPr>
          <w:p w14:paraId="1BEE6218" w14:textId="3AF942A4" w:rsidR="00CE3ED7" w:rsidRPr="006C1629" w:rsidRDefault="00CE3ED7" w:rsidP="006C1629">
            <w:pPr>
              <w:jc w:val="center"/>
              <w:rPr>
                <w:sz w:val="24"/>
                <w:szCs w:val="24"/>
              </w:rPr>
            </w:pPr>
            <w:r w:rsidRPr="006C1629">
              <w:rPr>
                <w:sz w:val="24"/>
                <w:szCs w:val="24"/>
              </w:rPr>
              <w:t>27</w:t>
            </w:r>
          </w:p>
        </w:tc>
        <w:tc>
          <w:tcPr>
            <w:tcW w:w="1697" w:type="dxa"/>
            <w:vMerge w:val="restart"/>
          </w:tcPr>
          <w:p w14:paraId="2335EF56" w14:textId="179182B3" w:rsidR="00CE3ED7" w:rsidRPr="006C1629" w:rsidRDefault="00CE3ED7" w:rsidP="006C1629">
            <w:pPr>
              <w:jc w:val="center"/>
              <w:rPr>
                <w:sz w:val="24"/>
                <w:szCs w:val="24"/>
              </w:rPr>
            </w:pPr>
            <w:r w:rsidRPr="006C1629">
              <w:rPr>
                <w:sz w:val="24"/>
                <w:szCs w:val="24"/>
              </w:rPr>
              <w:t>94</w:t>
            </w:r>
          </w:p>
        </w:tc>
      </w:tr>
      <w:tr w:rsidR="00CE3ED7" w:rsidRPr="006C1629" w14:paraId="2BDEE030" w14:textId="77777777" w:rsidTr="006C1629">
        <w:trPr>
          <w:trHeight w:val="322"/>
        </w:trPr>
        <w:tc>
          <w:tcPr>
            <w:tcW w:w="1943" w:type="dxa"/>
            <w:vMerge/>
          </w:tcPr>
          <w:p w14:paraId="7B60BD83" w14:textId="77777777" w:rsidR="00CE3ED7" w:rsidRPr="006C1629" w:rsidRDefault="00CE3ED7" w:rsidP="00FD4570">
            <w:pPr>
              <w:rPr>
                <w:sz w:val="24"/>
                <w:szCs w:val="24"/>
              </w:rPr>
            </w:pPr>
          </w:p>
        </w:tc>
        <w:tc>
          <w:tcPr>
            <w:tcW w:w="1750" w:type="dxa"/>
            <w:vMerge/>
          </w:tcPr>
          <w:p w14:paraId="495341BA" w14:textId="77777777" w:rsidR="00CE3ED7" w:rsidRPr="006C1629" w:rsidRDefault="00CE3ED7" w:rsidP="00FD4570">
            <w:pPr>
              <w:rPr>
                <w:sz w:val="24"/>
                <w:szCs w:val="24"/>
              </w:rPr>
            </w:pPr>
          </w:p>
        </w:tc>
        <w:tc>
          <w:tcPr>
            <w:tcW w:w="1730" w:type="dxa"/>
          </w:tcPr>
          <w:p w14:paraId="1A0D4F38" w14:textId="355C8F7B" w:rsidR="00CE3ED7" w:rsidRPr="006C1629" w:rsidRDefault="00CE3ED7" w:rsidP="00B30D08">
            <w:pPr>
              <w:jc w:val="center"/>
              <w:rPr>
                <w:sz w:val="24"/>
                <w:szCs w:val="24"/>
              </w:rPr>
            </w:pPr>
            <w:r w:rsidRPr="006C1629">
              <w:rPr>
                <w:sz w:val="24"/>
                <w:szCs w:val="24"/>
              </w:rPr>
              <w:t>Inactivo</w:t>
            </w:r>
          </w:p>
        </w:tc>
        <w:tc>
          <w:tcPr>
            <w:tcW w:w="1710" w:type="dxa"/>
          </w:tcPr>
          <w:p w14:paraId="0BA4D83C" w14:textId="077E6912" w:rsidR="00CE3ED7" w:rsidRPr="006C1629" w:rsidRDefault="00CE3ED7" w:rsidP="006C1629">
            <w:pPr>
              <w:jc w:val="center"/>
              <w:rPr>
                <w:sz w:val="24"/>
                <w:szCs w:val="24"/>
              </w:rPr>
            </w:pPr>
            <w:r w:rsidRPr="006C1629">
              <w:rPr>
                <w:sz w:val="24"/>
                <w:szCs w:val="24"/>
              </w:rPr>
              <w:t>67</w:t>
            </w:r>
          </w:p>
        </w:tc>
        <w:tc>
          <w:tcPr>
            <w:tcW w:w="1697" w:type="dxa"/>
            <w:vMerge/>
          </w:tcPr>
          <w:p w14:paraId="4E0834D0" w14:textId="77777777" w:rsidR="00CE3ED7" w:rsidRPr="006C1629" w:rsidRDefault="00CE3ED7" w:rsidP="006C1629">
            <w:pPr>
              <w:jc w:val="center"/>
              <w:rPr>
                <w:sz w:val="24"/>
                <w:szCs w:val="24"/>
              </w:rPr>
            </w:pPr>
          </w:p>
        </w:tc>
      </w:tr>
      <w:tr w:rsidR="00CE3ED7" w:rsidRPr="006C1629" w14:paraId="3FDDE620" w14:textId="77777777" w:rsidTr="00CE3ED7">
        <w:trPr>
          <w:trHeight w:val="135"/>
        </w:trPr>
        <w:tc>
          <w:tcPr>
            <w:tcW w:w="1943" w:type="dxa"/>
            <w:vMerge/>
          </w:tcPr>
          <w:p w14:paraId="0CF5AACC" w14:textId="77777777" w:rsidR="00CE3ED7" w:rsidRPr="006C1629" w:rsidRDefault="00CE3ED7" w:rsidP="00CE3ED7">
            <w:pPr>
              <w:rPr>
                <w:sz w:val="24"/>
                <w:szCs w:val="24"/>
              </w:rPr>
            </w:pPr>
          </w:p>
        </w:tc>
        <w:tc>
          <w:tcPr>
            <w:tcW w:w="1750" w:type="dxa"/>
            <w:vMerge w:val="restart"/>
          </w:tcPr>
          <w:p w14:paraId="47A60350" w14:textId="75EFDF76" w:rsidR="00CE3ED7" w:rsidRPr="006C1629" w:rsidRDefault="00CE3ED7" w:rsidP="00CE3ED7">
            <w:pPr>
              <w:rPr>
                <w:sz w:val="24"/>
                <w:szCs w:val="24"/>
              </w:rPr>
            </w:pPr>
            <w:r w:rsidRPr="006C1629">
              <w:rPr>
                <w:sz w:val="24"/>
                <w:szCs w:val="24"/>
              </w:rPr>
              <w:t>Instrucción</w:t>
            </w:r>
          </w:p>
        </w:tc>
        <w:tc>
          <w:tcPr>
            <w:tcW w:w="1730" w:type="dxa"/>
          </w:tcPr>
          <w:p w14:paraId="46D9FE89" w14:textId="43771745" w:rsidR="00CE3ED7" w:rsidRPr="006C1629" w:rsidRDefault="00CE3ED7" w:rsidP="00B30D08">
            <w:pPr>
              <w:jc w:val="center"/>
              <w:rPr>
                <w:sz w:val="24"/>
                <w:szCs w:val="24"/>
              </w:rPr>
            </w:pPr>
            <w:r w:rsidRPr="006C1629">
              <w:rPr>
                <w:sz w:val="24"/>
                <w:szCs w:val="24"/>
              </w:rPr>
              <w:t>Activo</w:t>
            </w:r>
          </w:p>
        </w:tc>
        <w:tc>
          <w:tcPr>
            <w:tcW w:w="1710" w:type="dxa"/>
          </w:tcPr>
          <w:p w14:paraId="3406ABE1" w14:textId="22B36C31" w:rsidR="00CE3ED7" w:rsidRPr="006C1629" w:rsidRDefault="00CE3ED7" w:rsidP="00CE3ED7">
            <w:pPr>
              <w:jc w:val="center"/>
              <w:rPr>
                <w:sz w:val="24"/>
                <w:szCs w:val="24"/>
              </w:rPr>
            </w:pPr>
            <w:r>
              <w:rPr>
                <w:sz w:val="24"/>
                <w:szCs w:val="24"/>
              </w:rPr>
              <w:t>16</w:t>
            </w:r>
          </w:p>
        </w:tc>
        <w:tc>
          <w:tcPr>
            <w:tcW w:w="1697" w:type="dxa"/>
            <w:vMerge w:val="restart"/>
          </w:tcPr>
          <w:p w14:paraId="7EFCB5F8" w14:textId="377A3F7D" w:rsidR="00CE3ED7" w:rsidRPr="006C1629" w:rsidRDefault="00CE3ED7" w:rsidP="00CE3ED7">
            <w:pPr>
              <w:jc w:val="center"/>
              <w:rPr>
                <w:sz w:val="24"/>
                <w:szCs w:val="24"/>
              </w:rPr>
            </w:pPr>
            <w:r>
              <w:rPr>
                <w:sz w:val="24"/>
                <w:szCs w:val="24"/>
              </w:rPr>
              <w:t>37</w:t>
            </w:r>
          </w:p>
        </w:tc>
      </w:tr>
      <w:tr w:rsidR="00CE3ED7" w:rsidRPr="006C1629" w14:paraId="1558FB3C" w14:textId="77777777" w:rsidTr="006C1629">
        <w:trPr>
          <w:trHeight w:val="135"/>
        </w:trPr>
        <w:tc>
          <w:tcPr>
            <w:tcW w:w="1943" w:type="dxa"/>
            <w:vMerge/>
          </w:tcPr>
          <w:p w14:paraId="5DA05538" w14:textId="77777777" w:rsidR="00CE3ED7" w:rsidRPr="006C1629" w:rsidRDefault="00CE3ED7" w:rsidP="00CE3ED7">
            <w:pPr>
              <w:rPr>
                <w:sz w:val="24"/>
                <w:szCs w:val="24"/>
              </w:rPr>
            </w:pPr>
          </w:p>
        </w:tc>
        <w:tc>
          <w:tcPr>
            <w:tcW w:w="1750" w:type="dxa"/>
            <w:vMerge/>
          </w:tcPr>
          <w:p w14:paraId="6AF22E9E" w14:textId="77777777" w:rsidR="00CE3ED7" w:rsidRPr="006C1629" w:rsidRDefault="00CE3ED7" w:rsidP="00CE3ED7">
            <w:pPr>
              <w:rPr>
                <w:sz w:val="24"/>
                <w:szCs w:val="24"/>
              </w:rPr>
            </w:pPr>
          </w:p>
        </w:tc>
        <w:tc>
          <w:tcPr>
            <w:tcW w:w="1730" w:type="dxa"/>
          </w:tcPr>
          <w:p w14:paraId="67F3451A" w14:textId="199C77FA" w:rsidR="00CE3ED7" w:rsidRPr="006C1629" w:rsidRDefault="00CE3ED7" w:rsidP="00B30D08">
            <w:pPr>
              <w:jc w:val="center"/>
              <w:rPr>
                <w:sz w:val="24"/>
                <w:szCs w:val="24"/>
              </w:rPr>
            </w:pPr>
            <w:r w:rsidRPr="006C1629">
              <w:rPr>
                <w:sz w:val="24"/>
                <w:szCs w:val="24"/>
              </w:rPr>
              <w:t>Inactivo</w:t>
            </w:r>
          </w:p>
        </w:tc>
        <w:tc>
          <w:tcPr>
            <w:tcW w:w="1710" w:type="dxa"/>
          </w:tcPr>
          <w:p w14:paraId="7AAEF140" w14:textId="584A5A62" w:rsidR="00CE3ED7" w:rsidRPr="006C1629" w:rsidRDefault="00CE3ED7" w:rsidP="00CE3ED7">
            <w:pPr>
              <w:jc w:val="center"/>
              <w:rPr>
                <w:sz w:val="24"/>
                <w:szCs w:val="24"/>
              </w:rPr>
            </w:pPr>
            <w:r>
              <w:rPr>
                <w:sz w:val="24"/>
                <w:szCs w:val="24"/>
              </w:rPr>
              <w:t>21</w:t>
            </w:r>
          </w:p>
        </w:tc>
        <w:tc>
          <w:tcPr>
            <w:tcW w:w="1697" w:type="dxa"/>
            <w:vMerge/>
          </w:tcPr>
          <w:p w14:paraId="246A194A" w14:textId="77777777" w:rsidR="00CE3ED7" w:rsidRPr="006C1629" w:rsidRDefault="00CE3ED7" w:rsidP="00CE3ED7">
            <w:pPr>
              <w:jc w:val="center"/>
              <w:rPr>
                <w:sz w:val="24"/>
                <w:szCs w:val="24"/>
              </w:rPr>
            </w:pPr>
          </w:p>
        </w:tc>
      </w:tr>
      <w:tr w:rsidR="00CE3ED7" w:rsidRPr="006C1629" w14:paraId="6A5D7DE5" w14:textId="77777777" w:rsidTr="00CE3ED7">
        <w:trPr>
          <w:trHeight w:val="135"/>
        </w:trPr>
        <w:tc>
          <w:tcPr>
            <w:tcW w:w="1943" w:type="dxa"/>
            <w:vMerge/>
          </w:tcPr>
          <w:p w14:paraId="3ED23D5B" w14:textId="77777777" w:rsidR="00CE3ED7" w:rsidRPr="006C1629" w:rsidRDefault="00CE3ED7" w:rsidP="00CE3ED7">
            <w:pPr>
              <w:rPr>
                <w:sz w:val="24"/>
                <w:szCs w:val="24"/>
              </w:rPr>
            </w:pPr>
          </w:p>
        </w:tc>
        <w:tc>
          <w:tcPr>
            <w:tcW w:w="1750" w:type="dxa"/>
            <w:vMerge w:val="restart"/>
          </w:tcPr>
          <w:p w14:paraId="22889CD5" w14:textId="0E5CA03D" w:rsidR="00CE3ED7" w:rsidRPr="006C1629" w:rsidRDefault="00CE3ED7" w:rsidP="00CE3ED7">
            <w:pPr>
              <w:rPr>
                <w:sz w:val="24"/>
                <w:szCs w:val="24"/>
              </w:rPr>
            </w:pPr>
            <w:r w:rsidRPr="006C1629">
              <w:rPr>
                <w:sz w:val="24"/>
                <w:szCs w:val="24"/>
              </w:rPr>
              <w:t>Juicio</w:t>
            </w:r>
          </w:p>
        </w:tc>
        <w:tc>
          <w:tcPr>
            <w:tcW w:w="1730" w:type="dxa"/>
          </w:tcPr>
          <w:p w14:paraId="6DF569DF" w14:textId="4AC4805E" w:rsidR="00CE3ED7" w:rsidRPr="006C1629" w:rsidRDefault="00CE3ED7" w:rsidP="00B30D08">
            <w:pPr>
              <w:jc w:val="center"/>
              <w:rPr>
                <w:sz w:val="24"/>
                <w:szCs w:val="24"/>
              </w:rPr>
            </w:pPr>
            <w:r w:rsidRPr="006C1629">
              <w:rPr>
                <w:sz w:val="24"/>
                <w:szCs w:val="24"/>
              </w:rPr>
              <w:t>Activo</w:t>
            </w:r>
          </w:p>
        </w:tc>
        <w:tc>
          <w:tcPr>
            <w:tcW w:w="1710" w:type="dxa"/>
          </w:tcPr>
          <w:p w14:paraId="7AEB8FB0" w14:textId="3B236A78" w:rsidR="00CE3ED7" w:rsidRPr="006C1629" w:rsidRDefault="00CE3ED7" w:rsidP="00CE3ED7">
            <w:pPr>
              <w:jc w:val="center"/>
              <w:rPr>
                <w:sz w:val="24"/>
                <w:szCs w:val="24"/>
              </w:rPr>
            </w:pPr>
            <w:r>
              <w:rPr>
                <w:sz w:val="24"/>
                <w:szCs w:val="24"/>
              </w:rPr>
              <w:t>2</w:t>
            </w:r>
          </w:p>
        </w:tc>
        <w:tc>
          <w:tcPr>
            <w:tcW w:w="1697" w:type="dxa"/>
            <w:vMerge w:val="restart"/>
          </w:tcPr>
          <w:p w14:paraId="39F4408F" w14:textId="65A81476" w:rsidR="00CE3ED7" w:rsidRPr="006C1629" w:rsidRDefault="00CE3ED7" w:rsidP="00CE3ED7">
            <w:pPr>
              <w:jc w:val="center"/>
              <w:rPr>
                <w:sz w:val="24"/>
                <w:szCs w:val="24"/>
              </w:rPr>
            </w:pPr>
            <w:r>
              <w:rPr>
                <w:sz w:val="24"/>
                <w:szCs w:val="24"/>
              </w:rPr>
              <w:t>9</w:t>
            </w:r>
          </w:p>
        </w:tc>
      </w:tr>
      <w:tr w:rsidR="00CE3ED7" w:rsidRPr="006C1629" w14:paraId="7A4B7E66" w14:textId="77777777" w:rsidTr="006C1629">
        <w:trPr>
          <w:trHeight w:val="135"/>
        </w:trPr>
        <w:tc>
          <w:tcPr>
            <w:tcW w:w="1943" w:type="dxa"/>
            <w:vMerge/>
          </w:tcPr>
          <w:p w14:paraId="27B10268" w14:textId="77777777" w:rsidR="00CE3ED7" w:rsidRPr="006C1629" w:rsidRDefault="00CE3ED7" w:rsidP="00CE3ED7">
            <w:pPr>
              <w:rPr>
                <w:sz w:val="24"/>
                <w:szCs w:val="24"/>
              </w:rPr>
            </w:pPr>
          </w:p>
        </w:tc>
        <w:tc>
          <w:tcPr>
            <w:tcW w:w="1750" w:type="dxa"/>
            <w:vMerge/>
          </w:tcPr>
          <w:p w14:paraId="4CB606EE" w14:textId="77777777" w:rsidR="00CE3ED7" w:rsidRPr="006C1629" w:rsidRDefault="00CE3ED7" w:rsidP="00CE3ED7">
            <w:pPr>
              <w:rPr>
                <w:sz w:val="24"/>
                <w:szCs w:val="24"/>
              </w:rPr>
            </w:pPr>
          </w:p>
        </w:tc>
        <w:tc>
          <w:tcPr>
            <w:tcW w:w="1730" w:type="dxa"/>
          </w:tcPr>
          <w:p w14:paraId="7E34A64F" w14:textId="0C6FE150" w:rsidR="00CE3ED7" w:rsidRPr="006C1629" w:rsidRDefault="00CE3ED7" w:rsidP="00B30D08">
            <w:pPr>
              <w:jc w:val="center"/>
              <w:rPr>
                <w:sz w:val="24"/>
                <w:szCs w:val="24"/>
              </w:rPr>
            </w:pPr>
            <w:r w:rsidRPr="006C1629">
              <w:rPr>
                <w:sz w:val="24"/>
                <w:szCs w:val="24"/>
              </w:rPr>
              <w:t>Inactivo</w:t>
            </w:r>
          </w:p>
        </w:tc>
        <w:tc>
          <w:tcPr>
            <w:tcW w:w="1710" w:type="dxa"/>
          </w:tcPr>
          <w:p w14:paraId="44DD1A56" w14:textId="58B83E1B" w:rsidR="00CE3ED7" w:rsidRPr="006C1629" w:rsidRDefault="00CE3ED7" w:rsidP="00CE3ED7">
            <w:pPr>
              <w:jc w:val="center"/>
              <w:rPr>
                <w:sz w:val="24"/>
                <w:szCs w:val="24"/>
              </w:rPr>
            </w:pPr>
            <w:r>
              <w:rPr>
                <w:sz w:val="24"/>
                <w:szCs w:val="24"/>
              </w:rPr>
              <w:t>7</w:t>
            </w:r>
          </w:p>
        </w:tc>
        <w:tc>
          <w:tcPr>
            <w:tcW w:w="1697" w:type="dxa"/>
            <w:vMerge/>
          </w:tcPr>
          <w:p w14:paraId="714835F9" w14:textId="77777777" w:rsidR="00CE3ED7" w:rsidRPr="006C1629" w:rsidRDefault="00CE3ED7" w:rsidP="00CE3ED7">
            <w:pPr>
              <w:rPr>
                <w:sz w:val="24"/>
                <w:szCs w:val="24"/>
              </w:rPr>
            </w:pPr>
          </w:p>
        </w:tc>
      </w:tr>
      <w:tr w:rsidR="00B30D08" w:rsidRPr="006C1629" w14:paraId="1A8856BC" w14:textId="77777777" w:rsidTr="00DB7F7F">
        <w:tc>
          <w:tcPr>
            <w:tcW w:w="7133" w:type="dxa"/>
            <w:gridSpan w:val="4"/>
          </w:tcPr>
          <w:p w14:paraId="7BA363E7" w14:textId="29BD5450" w:rsidR="00B30D08" w:rsidRPr="006C1629" w:rsidRDefault="00B30D08" w:rsidP="00B30D08">
            <w:pPr>
              <w:jc w:val="right"/>
              <w:rPr>
                <w:sz w:val="24"/>
                <w:szCs w:val="24"/>
              </w:rPr>
            </w:pPr>
            <w:r>
              <w:rPr>
                <w:sz w:val="24"/>
                <w:szCs w:val="24"/>
              </w:rPr>
              <w:t>Total</w:t>
            </w:r>
          </w:p>
        </w:tc>
        <w:tc>
          <w:tcPr>
            <w:tcW w:w="1697" w:type="dxa"/>
          </w:tcPr>
          <w:p w14:paraId="463C835D" w14:textId="5F58483E" w:rsidR="00B30D08" w:rsidRPr="006C1629" w:rsidRDefault="00B30D08" w:rsidP="00B30D08">
            <w:pPr>
              <w:jc w:val="center"/>
              <w:rPr>
                <w:sz w:val="24"/>
                <w:szCs w:val="24"/>
              </w:rPr>
            </w:pPr>
            <w:r>
              <w:rPr>
                <w:sz w:val="24"/>
                <w:szCs w:val="24"/>
              </w:rPr>
              <w:t>140</w:t>
            </w:r>
          </w:p>
        </w:tc>
      </w:tr>
      <w:tr w:rsidR="00A92581" w:rsidRPr="006C1629" w14:paraId="65D4B9CB" w14:textId="77777777" w:rsidTr="00B30D08">
        <w:trPr>
          <w:trHeight w:val="135"/>
        </w:trPr>
        <w:tc>
          <w:tcPr>
            <w:tcW w:w="1943" w:type="dxa"/>
            <w:vMerge w:val="restart"/>
          </w:tcPr>
          <w:p w14:paraId="0AFC7166" w14:textId="55C54271" w:rsidR="00A92581" w:rsidRPr="006C1629" w:rsidRDefault="00A92581" w:rsidP="00B30D08">
            <w:pPr>
              <w:rPr>
                <w:sz w:val="24"/>
                <w:szCs w:val="24"/>
              </w:rPr>
            </w:pPr>
            <w:r>
              <w:rPr>
                <w:sz w:val="24"/>
                <w:szCs w:val="24"/>
              </w:rPr>
              <w:t>Ley 906 de 2004</w:t>
            </w:r>
          </w:p>
        </w:tc>
        <w:tc>
          <w:tcPr>
            <w:tcW w:w="1750" w:type="dxa"/>
            <w:vMerge w:val="restart"/>
          </w:tcPr>
          <w:p w14:paraId="1196FDC5" w14:textId="22F84FCE" w:rsidR="00A92581" w:rsidRPr="006C1629" w:rsidRDefault="00A92581" w:rsidP="00B30D08">
            <w:pPr>
              <w:rPr>
                <w:sz w:val="24"/>
                <w:szCs w:val="24"/>
              </w:rPr>
            </w:pPr>
            <w:r>
              <w:rPr>
                <w:sz w:val="24"/>
                <w:szCs w:val="24"/>
              </w:rPr>
              <w:t xml:space="preserve">Indagación </w:t>
            </w:r>
          </w:p>
        </w:tc>
        <w:tc>
          <w:tcPr>
            <w:tcW w:w="1730" w:type="dxa"/>
          </w:tcPr>
          <w:p w14:paraId="68922C61" w14:textId="6FB26603" w:rsidR="00A92581" w:rsidRPr="006C1629" w:rsidRDefault="00A92581" w:rsidP="00B30D08">
            <w:pPr>
              <w:jc w:val="center"/>
              <w:rPr>
                <w:sz w:val="24"/>
                <w:szCs w:val="24"/>
              </w:rPr>
            </w:pPr>
            <w:r w:rsidRPr="006C1629">
              <w:rPr>
                <w:sz w:val="24"/>
                <w:szCs w:val="24"/>
              </w:rPr>
              <w:t>Activo</w:t>
            </w:r>
          </w:p>
        </w:tc>
        <w:tc>
          <w:tcPr>
            <w:tcW w:w="1710" w:type="dxa"/>
          </w:tcPr>
          <w:p w14:paraId="4ABD7FD2" w14:textId="5AAD6595" w:rsidR="00A92581" w:rsidRPr="006C1629" w:rsidRDefault="00A92581" w:rsidP="00B30D08">
            <w:pPr>
              <w:jc w:val="center"/>
              <w:rPr>
                <w:sz w:val="24"/>
                <w:szCs w:val="24"/>
              </w:rPr>
            </w:pPr>
            <w:r>
              <w:rPr>
                <w:sz w:val="24"/>
                <w:szCs w:val="24"/>
              </w:rPr>
              <w:t>2</w:t>
            </w:r>
          </w:p>
        </w:tc>
        <w:tc>
          <w:tcPr>
            <w:tcW w:w="1697" w:type="dxa"/>
            <w:vMerge w:val="restart"/>
          </w:tcPr>
          <w:p w14:paraId="62DD7B6C" w14:textId="0FBEE99D" w:rsidR="00A92581" w:rsidRPr="006C1629" w:rsidRDefault="00A92581" w:rsidP="00B30D08">
            <w:pPr>
              <w:jc w:val="center"/>
              <w:rPr>
                <w:sz w:val="24"/>
                <w:szCs w:val="24"/>
              </w:rPr>
            </w:pPr>
            <w:r>
              <w:rPr>
                <w:sz w:val="24"/>
                <w:szCs w:val="24"/>
              </w:rPr>
              <w:t>9</w:t>
            </w:r>
          </w:p>
        </w:tc>
      </w:tr>
      <w:tr w:rsidR="00A92581" w:rsidRPr="006C1629" w14:paraId="4C17603C" w14:textId="77777777" w:rsidTr="00DB7F7F">
        <w:trPr>
          <w:trHeight w:val="135"/>
        </w:trPr>
        <w:tc>
          <w:tcPr>
            <w:tcW w:w="1943" w:type="dxa"/>
            <w:vMerge/>
          </w:tcPr>
          <w:p w14:paraId="3F6096D2" w14:textId="77777777" w:rsidR="00A92581" w:rsidRDefault="00A92581" w:rsidP="00B30D08">
            <w:pPr>
              <w:rPr>
                <w:sz w:val="24"/>
                <w:szCs w:val="24"/>
              </w:rPr>
            </w:pPr>
          </w:p>
        </w:tc>
        <w:tc>
          <w:tcPr>
            <w:tcW w:w="1750" w:type="dxa"/>
            <w:vMerge/>
          </w:tcPr>
          <w:p w14:paraId="7786D213" w14:textId="77777777" w:rsidR="00A92581" w:rsidRDefault="00A92581" w:rsidP="00B30D08">
            <w:pPr>
              <w:rPr>
                <w:sz w:val="24"/>
                <w:szCs w:val="24"/>
              </w:rPr>
            </w:pPr>
          </w:p>
        </w:tc>
        <w:tc>
          <w:tcPr>
            <w:tcW w:w="1730" w:type="dxa"/>
          </w:tcPr>
          <w:p w14:paraId="0A36104D" w14:textId="2A007B60" w:rsidR="00A92581" w:rsidRPr="006C1629" w:rsidRDefault="00A92581" w:rsidP="00B30D08">
            <w:pPr>
              <w:jc w:val="center"/>
              <w:rPr>
                <w:sz w:val="24"/>
                <w:szCs w:val="24"/>
              </w:rPr>
            </w:pPr>
            <w:r w:rsidRPr="006C1629">
              <w:rPr>
                <w:sz w:val="24"/>
                <w:szCs w:val="24"/>
              </w:rPr>
              <w:t>Inactivo</w:t>
            </w:r>
          </w:p>
        </w:tc>
        <w:tc>
          <w:tcPr>
            <w:tcW w:w="1710" w:type="dxa"/>
          </w:tcPr>
          <w:p w14:paraId="571C14F1" w14:textId="491EE33D" w:rsidR="00A92581" w:rsidRPr="006C1629" w:rsidRDefault="00A92581" w:rsidP="00B30D08">
            <w:pPr>
              <w:jc w:val="center"/>
              <w:rPr>
                <w:sz w:val="24"/>
                <w:szCs w:val="24"/>
              </w:rPr>
            </w:pPr>
            <w:r>
              <w:rPr>
                <w:sz w:val="24"/>
                <w:szCs w:val="24"/>
              </w:rPr>
              <w:t>7</w:t>
            </w:r>
          </w:p>
        </w:tc>
        <w:tc>
          <w:tcPr>
            <w:tcW w:w="1697" w:type="dxa"/>
            <w:vMerge/>
          </w:tcPr>
          <w:p w14:paraId="6B5C3984" w14:textId="77777777" w:rsidR="00A92581" w:rsidRPr="006C1629" w:rsidRDefault="00A92581" w:rsidP="00B30D08">
            <w:pPr>
              <w:jc w:val="center"/>
              <w:rPr>
                <w:sz w:val="24"/>
                <w:szCs w:val="24"/>
              </w:rPr>
            </w:pPr>
          </w:p>
        </w:tc>
      </w:tr>
      <w:tr w:rsidR="00A92581" w:rsidRPr="006C1629" w14:paraId="362B1F8C" w14:textId="77777777" w:rsidTr="00B30D08">
        <w:trPr>
          <w:trHeight w:val="135"/>
        </w:trPr>
        <w:tc>
          <w:tcPr>
            <w:tcW w:w="1943" w:type="dxa"/>
            <w:vMerge/>
          </w:tcPr>
          <w:p w14:paraId="2CE89F9A" w14:textId="77777777" w:rsidR="00A92581" w:rsidRPr="006C1629" w:rsidRDefault="00A92581" w:rsidP="00B30D08">
            <w:pPr>
              <w:rPr>
                <w:sz w:val="24"/>
                <w:szCs w:val="24"/>
              </w:rPr>
            </w:pPr>
          </w:p>
        </w:tc>
        <w:tc>
          <w:tcPr>
            <w:tcW w:w="1750" w:type="dxa"/>
            <w:vMerge w:val="restart"/>
          </w:tcPr>
          <w:p w14:paraId="733F9E46" w14:textId="2E2ECE34" w:rsidR="00A92581" w:rsidRPr="006C1629" w:rsidRDefault="00A92581" w:rsidP="00B30D08">
            <w:pPr>
              <w:rPr>
                <w:sz w:val="24"/>
                <w:szCs w:val="24"/>
              </w:rPr>
            </w:pPr>
            <w:r>
              <w:rPr>
                <w:sz w:val="24"/>
                <w:szCs w:val="24"/>
              </w:rPr>
              <w:t>Investigación</w:t>
            </w:r>
          </w:p>
        </w:tc>
        <w:tc>
          <w:tcPr>
            <w:tcW w:w="1730" w:type="dxa"/>
          </w:tcPr>
          <w:p w14:paraId="6AA7E0A2" w14:textId="6F89D622" w:rsidR="00A92581" w:rsidRPr="006C1629" w:rsidRDefault="00A92581" w:rsidP="00B30D08">
            <w:pPr>
              <w:jc w:val="center"/>
              <w:rPr>
                <w:sz w:val="24"/>
                <w:szCs w:val="24"/>
              </w:rPr>
            </w:pPr>
            <w:r w:rsidRPr="006C1629">
              <w:rPr>
                <w:sz w:val="24"/>
                <w:szCs w:val="24"/>
              </w:rPr>
              <w:t>Activo</w:t>
            </w:r>
          </w:p>
        </w:tc>
        <w:tc>
          <w:tcPr>
            <w:tcW w:w="1710" w:type="dxa"/>
          </w:tcPr>
          <w:p w14:paraId="456194C5" w14:textId="41007A65" w:rsidR="00A92581" w:rsidRPr="006C1629" w:rsidRDefault="00A92581" w:rsidP="00B30D08">
            <w:pPr>
              <w:jc w:val="center"/>
              <w:rPr>
                <w:sz w:val="24"/>
                <w:szCs w:val="24"/>
              </w:rPr>
            </w:pPr>
            <w:r>
              <w:rPr>
                <w:sz w:val="24"/>
                <w:szCs w:val="24"/>
              </w:rPr>
              <w:t>4</w:t>
            </w:r>
          </w:p>
        </w:tc>
        <w:tc>
          <w:tcPr>
            <w:tcW w:w="1697" w:type="dxa"/>
            <w:vMerge w:val="restart"/>
          </w:tcPr>
          <w:p w14:paraId="4B953550" w14:textId="2A14ECC6" w:rsidR="00A92581" w:rsidRPr="006C1629" w:rsidRDefault="00A92581" w:rsidP="00B30D08">
            <w:pPr>
              <w:jc w:val="center"/>
              <w:rPr>
                <w:sz w:val="24"/>
                <w:szCs w:val="24"/>
              </w:rPr>
            </w:pPr>
            <w:r>
              <w:rPr>
                <w:sz w:val="24"/>
                <w:szCs w:val="24"/>
              </w:rPr>
              <w:t>5</w:t>
            </w:r>
          </w:p>
        </w:tc>
      </w:tr>
      <w:tr w:rsidR="00A92581" w:rsidRPr="006C1629" w14:paraId="19690D19" w14:textId="77777777" w:rsidTr="00DB7F7F">
        <w:trPr>
          <w:trHeight w:val="135"/>
        </w:trPr>
        <w:tc>
          <w:tcPr>
            <w:tcW w:w="1943" w:type="dxa"/>
            <w:vMerge/>
          </w:tcPr>
          <w:p w14:paraId="2F20B616" w14:textId="77777777" w:rsidR="00A92581" w:rsidRPr="006C1629" w:rsidRDefault="00A92581" w:rsidP="00B30D08">
            <w:pPr>
              <w:rPr>
                <w:sz w:val="24"/>
                <w:szCs w:val="24"/>
              </w:rPr>
            </w:pPr>
          </w:p>
        </w:tc>
        <w:tc>
          <w:tcPr>
            <w:tcW w:w="1750" w:type="dxa"/>
            <w:vMerge/>
          </w:tcPr>
          <w:p w14:paraId="14F640B0" w14:textId="77777777" w:rsidR="00A92581" w:rsidRDefault="00A92581" w:rsidP="00B30D08">
            <w:pPr>
              <w:rPr>
                <w:sz w:val="24"/>
                <w:szCs w:val="24"/>
              </w:rPr>
            </w:pPr>
          </w:p>
        </w:tc>
        <w:tc>
          <w:tcPr>
            <w:tcW w:w="1730" w:type="dxa"/>
          </w:tcPr>
          <w:p w14:paraId="461C597B" w14:textId="15E8C267" w:rsidR="00A92581" w:rsidRPr="006C1629" w:rsidRDefault="00A92581" w:rsidP="00B30D08">
            <w:pPr>
              <w:jc w:val="center"/>
              <w:rPr>
                <w:sz w:val="24"/>
                <w:szCs w:val="24"/>
              </w:rPr>
            </w:pPr>
            <w:r w:rsidRPr="006C1629">
              <w:rPr>
                <w:sz w:val="24"/>
                <w:szCs w:val="24"/>
              </w:rPr>
              <w:t>Inactivo</w:t>
            </w:r>
          </w:p>
        </w:tc>
        <w:tc>
          <w:tcPr>
            <w:tcW w:w="1710" w:type="dxa"/>
          </w:tcPr>
          <w:p w14:paraId="48A1B0B4" w14:textId="4A64495C" w:rsidR="00A92581" w:rsidRPr="006C1629" w:rsidRDefault="00A92581" w:rsidP="00B30D08">
            <w:pPr>
              <w:jc w:val="center"/>
              <w:rPr>
                <w:sz w:val="24"/>
                <w:szCs w:val="24"/>
              </w:rPr>
            </w:pPr>
            <w:r>
              <w:rPr>
                <w:sz w:val="24"/>
                <w:szCs w:val="24"/>
              </w:rPr>
              <w:t>1</w:t>
            </w:r>
          </w:p>
        </w:tc>
        <w:tc>
          <w:tcPr>
            <w:tcW w:w="1697" w:type="dxa"/>
            <w:vMerge/>
          </w:tcPr>
          <w:p w14:paraId="7E04CE3E" w14:textId="77777777" w:rsidR="00A92581" w:rsidRPr="006C1629" w:rsidRDefault="00A92581" w:rsidP="00B30D08">
            <w:pPr>
              <w:jc w:val="center"/>
              <w:rPr>
                <w:sz w:val="24"/>
                <w:szCs w:val="24"/>
              </w:rPr>
            </w:pPr>
          </w:p>
        </w:tc>
      </w:tr>
      <w:tr w:rsidR="00A92581" w:rsidRPr="006C1629" w14:paraId="5F48717D" w14:textId="77777777" w:rsidTr="00DB7F7F">
        <w:trPr>
          <w:trHeight w:val="565"/>
        </w:trPr>
        <w:tc>
          <w:tcPr>
            <w:tcW w:w="1943" w:type="dxa"/>
            <w:vMerge/>
          </w:tcPr>
          <w:p w14:paraId="2F65FD66" w14:textId="77777777" w:rsidR="00A92581" w:rsidRPr="006C1629" w:rsidRDefault="00A92581" w:rsidP="00B30D08">
            <w:pPr>
              <w:rPr>
                <w:sz w:val="24"/>
                <w:szCs w:val="24"/>
              </w:rPr>
            </w:pPr>
          </w:p>
        </w:tc>
        <w:tc>
          <w:tcPr>
            <w:tcW w:w="1750" w:type="dxa"/>
          </w:tcPr>
          <w:p w14:paraId="76B70D17" w14:textId="03F313D3" w:rsidR="00A92581" w:rsidRPr="006C1629" w:rsidRDefault="00A92581" w:rsidP="00B30D08">
            <w:pPr>
              <w:rPr>
                <w:sz w:val="24"/>
                <w:szCs w:val="24"/>
              </w:rPr>
            </w:pPr>
            <w:r>
              <w:rPr>
                <w:sz w:val="24"/>
                <w:szCs w:val="24"/>
              </w:rPr>
              <w:t>Ejecución de penas</w:t>
            </w:r>
          </w:p>
        </w:tc>
        <w:tc>
          <w:tcPr>
            <w:tcW w:w="1730" w:type="dxa"/>
          </w:tcPr>
          <w:p w14:paraId="677E1FCB" w14:textId="1D769A33" w:rsidR="00A92581" w:rsidRPr="006C1629" w:rsidRDefault="00A92581" w:rsidP="00B30D08">
            <w:pPr>
              <w:jc w:val="center"/>
              <w:rPr>
                <w:sz w:val="24"/>
                <w:szCs w:val="24"/>
              </w:rPr>
            </w:pPr>
            <w:r w:rsidRPr="006C1629">
              <w:rPr>
                <w:sz w:val="24"/>
                <w:szCs w:val="24"/>
              </w:rPr>
              <w:t>Activo</w:t>
            </w:r>
          </w:p>
        </w:tc>
        <w:tc>
          <w:tcPr>
            <w:tcW w:w="1710" w:type="dxa"/>
          </w:tcPr>
          <w:p w14:paraId="6C969313" w14:textId="045F3201" w:rsidR="00A92581" w:rsidRPr="006C1629" w:rsidRDefault="00A92581" w:rsidP="00B30D08">
            <w:pPr>
              <w:jc w:val="center"/>
              <w:rPr>
                <w:sz w:val="24"/>
                <w:szCs w:val="24"/>
              </w:rPr>
            </w:pPr>
            <w:r>
              <w:rPr>
                <w:sz w:val="24"/>
                <w:szCs w:val="24"/>
              </w:rPr>
              <w:t>2</w:t>
            </w:r>
          </w:p>
        </w:tc>
        <w:tc>
          <w:tcPr>
            <w:tcW w:w="1697" w:type="dxa"/>
          </w:tcPr>
          <w:p w14:paraId="6795220E" w14:textId="0F68A489" w:rsidR="00A92581" w:rsidRPr="006C1629" w:rsidRDefault="00A92581" w:rsidP="00B30D08">
            <w:pPr>
              <w:jc w:val="center"/>
              <w:rPr>
                <w:sz w:val="24"/>
                <w:szCs w:val="24"/>
              </w:rPr>
            </w:pPr>
            <w:r>
              <w:rPr>
                <w:sz w:val="24"/>
                <w:szCs w:val="24"/>
              </w:rPr>
              <w:t>2</w:t>
            </w:r>
          </w:p>
        </w:tc>
      </w:tr>
      <w:tr w:rsidR="00A92581" w:rsidRPr="006C1629" w14:paraId="2E5EB70B" w14:textId="77777777" w:rsidTr="00DB7F7F">
        <w:tc>
          <w:tcPr>
            <w:tcW w:w="1943" w:type="dxa"/>
            <w:vMerge/>
          </w:tcPr>
          <w:p w14:paraId="7936B2A8" w14:textId="77777777" w:rsidR="00A92581" w:rsidRPr="006C1629" w:rsidRDefault="00A92581" w:rsidP="00A92581">
            <w:pPr>
              <w:rPr>
                <w:sz w:val="24"/>
                <w:szCs w:val="24"/>
              </w:rPr>
            </w:pPr>
          </w:p>
        </w:tc>
        <w:tc>
          <w:tcPr>
            <w:tcW w:w="1750" w:type="dxa"/>
          </w:tcPr>
          <w:p w14:paraId="4270C69A" w14:textId="59A7F860" w:rsidR="00A92581" w:rsidRPr="006C1629" w:rsidRDefault="00A92581" w:rsidP="00A92581">
            <w:pPr>
              <w:rPr>
                <w:sz w:val="24"/>
                <w:szCs w:val="24"/>
              </w:rPr>
            </w:pPr>
            <w:r>
              <w:rPr>
                <w:sz w:val="24"/>
                <w:szCs w:val="24"/>
              </w:rPr>
              <w:t>Con NUNC</w:t>
            </w:r>
          </w:p>
        </w:tc>
        <w:tc>
          <w:tcPr>
            <w:tcW w:w="1730" w:type="dxa"/>
          </w:tcPr>
          <w:p w14:paraId="7B7FC740" w14:textId="1EA28D78" w:rsidR="00A92581" w:rsidRPr="006C1629" w:rsidRDefault="00A92581" w:rsidP="00A92581">
            <w:pPr>
              <w:rPr>
                <w:sz w:val="24"/>
                <w:szCs w:val="24"/>
              </w:rPr>
            </w:pPr>
            <w:r>
              <w:rPr>
                <w:sz w:val="24"/>
                <w:szCs w:val="24"/>
              </w:rPr>
              <w:t>Con NUNC</w:t>
            </w:r>
          </w:p>
        </w:tc>
        <w:tc>
          <w:tcPr>
            <w:tcW w:w="1710" w:type="dxa"/>
          </w:tcPr>
          <w:p w14:paraId="700BE320" w14:textId="4A57C692" w:rsidR="00A92581" w:rsidRPr="006C1629" w:rsidRDefault="00A92581" w:rsidP="00A92581">
            <w:pPr>
              <w:jc w:val="center"/>
              <w:rPr>
                <w:sz w:val="24"/>
                <w:szCs w:val="24"/>
              </w:rPr>
            </w:pPr>
            <w:r>
              <w:rPr>
                <w:sz w:val="24"/>
                <w:szCs w:val="24"/>
              </w:rPr>
              <w:t>2</w:t>
            </w:r>
          </w:p>
        </w:tc>
        <w:tc>
          <w:tcPr>
            <w:tcW w:w="1697" w:type="dxa"/>
          </w:tcPr>
          <w:p w14:paraId="13152CA7" w14:textId="2469AC7A" w:rsidR="00A92581" w:rsidRPr="006C1629" w:rsidRDefault="00A92581" w:rsidP="00A92581">
            <w:pPr>
              <w:jc w:val="center"/>
              <w:rPr>
                <w:sz w:val="24"/>
                <w:szCs w:val="24"/>
              </w:rPr>
            </w:pPr>
            <w:r>
              <w:rPr>
                <w:sz w:val="24"/>
                <w:szCs w:val="24"/>
              </w:rPr>
              <w:t>2</w:t>
            </w:r>
          </w:p>
        </w:tc>
      </w:tr>
      <w:tr w:rsidR="00EE6FD7" w:rsidRPr="006C1629" w14:paraId="35FA4A0A" w14:textId="77777777" w:rsidTr="00DB7F7F">
        <w:tc>
          <w:tcPr>
            <w:tcW w:w="7133" w:type="dxa"/>
            <w:gridSpan w:val="4"/>
          </w:tcPr>
          <w:p w14:paraId="359A1569" w14:textId="284D206E" w:rsidR="00EE6FD7" w:rsidRPr="006C1629" w:rsidRDefault="00EE6FD7" w:rsidP="00A92581">
            <w:pPr>
              <w:jc w:val="right"/>
              <w:rPr>
                <w:sz w:val="24"/>
                <w:szCs w:val="24"/>
              </w:rPr>
            </w:pPr>
            <w:r>
              <w:rPr>
                <w:sz w:val="24"/>
                <w:szCs w:val="24"/>
              </w:rPr>
              <w:t>Total</w:t>
            </w:r>
          </w:p>
        </w:tc>
        <w:tc>
          <w:tcPr>
            <w:tcW w:w="1697" w:type="dxa"/>
          </w:tcPr>
          <w:p w14:paraId="73343C4D" w14:textId="31E1E996" w:rsidR="00EE6FD7" w:rsidRPr="006C1629" w:rsidRDefault="00EE6FD7" w:rsidP="00EE6FD7">
            <w:pPr>
              <w:jc w:val="center"/>
              <w:rPr>
                <w:sz w:val="24"/>
                <w:szCs w:val="24"/>
              </w:rPr>
            </w:pPr>
            <w:r>
              <w:rPr>
                <w:sz w:val="24"/>
                <w:szCs w:val="24"/>
              </w:rPr>
              <w:t>18</w:t>
            </w:r>
          </w:p>
        </w:tc>
      </w:tr>
      <w:tr w:rsidR="00F652DD" w:rsidRPr="006C1629" w14:paraId="4C38F649" w14:textId="77777777" w:rsidTr="00EE6FD7">
        <w:trPr>
          <w:trHeight w:val="135"/>
        </w:trPr>
        <w:tc>
          <w:tcPr>
            <w:tcW w:w="1943" w:type="dxa"/>
            <w:vMerge w:val="restart"/>
          </w:tcPr>
          <w:p w14:paraId="5DF7230B" w14:textId="071B92DB" w:rsidR="00F652DD" w:rsidRPr="006C1629" w:rsidRDefault="00F652DD" w:rsidP="00DB7F7F">
            <w:pPr>
              <w:rPr>
                <w:sz w:val="24"/>
                <w:szCs w:val="24"/>
              </w:rPr>
            </w:pPr>
            <w:r w:rsidRPr="00EE6FD7">
              <w:rPr>
                <w:sz w:val="24"/>
                <w:szCs w:val="24"/>
              </w:rPr>
              <w:t>Ley 975 de 2004</w:t>
            </w:r>
          </w:p>
        </w:tc>
        <w:tc>
          <w:tcPr>
            <w:tcW w:w="1750" w:type="dxa"/>
            <w:vMerge w:val="restart"/>
          </w:tcPr>
          <w:p w14:paraId="6D084CC9" w14:textId="3A0F00AD" w:rsidR="00F652DD" w:rsidRPr="006C1629" w:rsidRDefault="00F652DD" w:rsidP="00DB7F7F">
            <w:pPr>
              <w:rPr>
                <w:sz w:val="24"/>
                <w:szCs w:val="24"/>
              </w:rPr>
            </w:pPr>
            <w:r>
              <w:rPr>
                <w:sz w:val="24"/>
                <w:szCs w:val="24"/>
              </w:rPr>
              <w:t xml:space="preserve">Documentación </w:t>
            </w:r>
          </w:p>
        </w:tc>
        <w:tc>
          <w:tcPr>
            <w:tcW w:w="1730" w:type="dxa"/>
          </w:tcPr>
          <w:p w14:paraId="7276BB85" w14:textId="63EA84EA" w:rsidR="00F652DD" w:rsidRPr="006C1629" w:rsidRDefault="00F652DD" w:rsidP="00EE6FD7">
            <w:pPr>
              <w:jc w:val="center"/>
              <w:rPr>
                <w:sz w:val="24"/>
                <w:szCs w:val="24"/>
              </w:rPr>
            </w:pPr>
            <w:r>
              <w:rPr>
                <w:sz w:val="24"/>
                <w:szCs w:val="24"/>
              </w:rPr>
              <w:t>Activo</w:t>
            </w:r>
          </w:p>
        </w:tc>
        <w:tc>
          <w:tcPr>
            <w:tcW w:w="1710" w:type="dxa"/>
          </w:tcPr>
          <w:p w14:paraId="5004CAF0" w14:textId="192E4C11" w:rsidR="00F652DD" w:rsidRPr="006C1629" w:rsidRDefault="00F652DD" w:rsidP="00EE6FD7">
            <w:pPr>
              <w:jc w:val="center"/>
              <w:rPr>
                <w:sz w:val="24"/>
                <w:szCs w:val="24"/>
              </w:rPr>
            </w:pPr>
            <w:r>
              <w:rPr>
                <w:sz w:val="24"/>
                <w:szCs w:val="24"/>
              </w:rPr>
              <w:t>10</w:t>
            </w:r>
          </w:p>
        </w:tc>
        <w:tc>
          <w:tcPr>
            <w:tcW w:w="1697" w:type="dxa"/>
            <w:vMerge w:val="restart"/>
          </w:tcPr>
          <w:p w14:paraId="62EA2922" w14:textId="31858CD7" w:rsidR="00F652DD" w:rsidRPr="006C1629" w:rsidRDefault="00F652DD" w:rsidP="00EE6FD7">
            <w:pPr>
              <w:jc w:val="center"/>
              <w:rPr>
                <w:sz w:val="24"/>
                <w:szCs w:val="24"/>
              </w:rPr>
            </w:pPr>
            <w:r>
              <w:rPr>
                <w:sz w:val="24"/>
                <w:szCs w:val="24"/>
              </w:rPr>
              <w:t>43</w:t>
            </w:r>
          </w:p>
        </w:tc>
      </w:tr>
      <w:tr w:rsidR="00F652DD" w:rsidRPr="006C1629" w14:paraId="41AF0C05" w14:textId="77777777" w:rsidTr="00EE6FD7">
        <w:trPr>
          <w:trHeight w:val="135"/>
        </w:trPr>
        <w:tc>
          <w:tcPr>
            <w:tcW w:w="1943" w:type="dxa"/>
            <w:vMerge/>
          </w:tcPr>
          <w:p w14:paraId="27B5DD8E" w14:textId="77777777" w:rsidR="00F652DD" w:rsidRPr="00EE6FD7" w:rsidRDefault="00F652DD" w:rsidP="00DB7F7F">
            <w:pPr>
              <w:rPr>
                <w:sz w:val="24"/>
                <w:szCs w:val="24"/>
              </w:rPr>
            </w:pPr>
          </w:p>
        </w:tc>
        <w:tc>
          <w:tcPr>
            <w:tcW w:w="1750" w:type="dxa"/>
            <w:vMerge/>
          </w:tcPr>
          <w:p w14:paraId="07015C44" w14:textId="77777777" w:rsidR="00F652DD" w:rsidRDefault="00F652DD" w:rsidP="00DB7F7F">
            <w:pPr>
              <w:rPr>
                <w:sz w:val="24"/>
                <w:szCs w:val="24"/>
              </w:rPr>
            </w:pPr>
          </w:p>
        </w:tc>
        <w:tc>
          <w:tcPr>
            <w:tcW w:w="1730" w:type="dxa"/>
          </w:tcPr>
          <w:p w14:paraId="5A3D61B6" w14:textId="36F9FF97" w:rsidR="00F652DD" w:rsidRPr="006C1629" w:rsidRDefault="00F652DD" w:rsidP="00EE6FD7">
            <w:pPr>
              <w:jc w:val="center"/>
              <w:rPr>
                <w:sz w:val="24"/>
                <w:szCs w:val="24"/>
              </w:rPr>
            </w:pPr>
            <w:r>
              <w:rPr>
                <w:sz w:val="24"/>
                <w:szCs w:val="24"/>
              </w:rPr>
              <w:t>Sin SIJYP</w:t>
            </w:r>
          </w:p>
        </w:tc>
        <w:tc>
          <w:tcPr>
            <w:tcW w:w="1710" w:type="dxa"/>
          </w:tcPr>
          <w:p w14:paraId="7FDA681E" w14:textId="2028D9B5" w:rsidR="00F652DD" w:rsidRPr="006C1629" w:rsidRDefault="00F652DD" w:rsidP="00EE6FD7">
            <w:pPr>
              <w:jc w:val="center"/>
              <w:rPr>
                <w:sz w:val="24"/>
                <w:szCs w:val="24"/>
              </w:rPr>
            </w:pPr>
            <w:r>
              <w:rPr>
                <w:sz w:val="24"/>
                <w:szCs w:val="24"/>
              </w:rPr>
              <w:t>32</w:t>
            </w:r>
          </w:p>
        </w:tc>
        <w:tc>
          <w:tcPr>
            <w:tcW w:w="1697" w:type="dxa"/>
            <w:vMerge/>
          </w:tcPr>
          <w:p w14:paraId="78D94167" w14:textId="77777777" w:rsidR="00F652DD" w:rsidRPr="006C1629" w:rsidRDefault="00F652DD" w:rsidP="00EE6FD7">
            <w:pPr>
              <w:jc w:val="center"/>
              <w:rPr>
                <w:sz w:val="24"/>
                <w:szCs w:val="24"/>
              </w:rPr>
            </w:pPr>
          </w:p>
        </w:tc>
      </w:tr>
      <w:tr w:rsidR="00F652DD" w:rsidRPr="006C1629" w14:paraId="6D6ED4B7" w14:textId="77777777" w:rsidTr="00DB7F7F">
        <w:trPr>
          <w:trHeight w:val="135"/>
        </w:trPr>
        <w:tc>
          <w:tcPr>
            <w:tcW w:w="1943" w:type="dxa"/>
            <w:vMerge/>
          </w:tcPr>
          <w:p w14:paraId="73126761" w14:textId="77777777" w:rsidR="00F652DD" w:rsidRPr="00EE6FD7" w:rsidRDefault="00F652DD" w:rsidP="00DB7F7F">
            <w:pPr>
              <w:rPr>
                <w:sz w:val="24"/>
                <w:szCs w:val="24"/>
              </w:rPr>
            </w:pPr>
          </w:p>
        </w:tc>
        <w:tc>
          <w:tcPr>
            <w:tcW w:w="1750" w:type="dxa"/>
            <w:vMerge/>
          </w:tcPr>
          <w:p w14:paraId="2414DECA" w14:textId="77777777" w:rsidR="00F652DD" w:rsidRDefault="00F652DD" w:rsidP="00DB7F7F">
            <w:pPr>
              <w:rPr>
                <w:sz w:val="24"/>
                <w:szCs w:val="24"/>
              </w:rPr>
            </w:pPr>
          </w:p>
        </w:tc>
        <w:tc>
          <w:tcPr>
            <w:tcW w:w="1730" w:type="dxa"/>
          </w:tcPr>
          <w:p w14:paraId="4FB3AA3F" w14:textId="2FCF23FD" w:rsidR="00F652DD" w:rsidRPr="006C1629" w:rsidRDefault="00F652DD" w:rsidP="00EE6FD7">
            <w:pPr>
              <w:jc w:val="center"/>
              <w:rPr>
                <w:sz w:val="24"/>
                <w:szCs w:val="24"/>
              </w:rPr>
            </w:pPr>
            <w:r>
              <w:rPr>
                <w:sz w:val="24"/>
                <w:szCs w:val="24"/>
              </w:rPr>
              <w:t>Inactivo</w:t>
            </w:r>
          </w:p>
        </w:tc>
        <w:tc>
          <w:tcPr>
            <w:tcW w:w="1710" w:type="dxa"/>
          </w:tcPr>
          <w:p w14:paraId="3A971BF0" w14:textId="5A34AAB3" w:rsidR="00F652DD" w:rsidRPr="006C1629" w:rsidRDefault="00F652DD" w:rsidP="00EE6FD7">
            <w:pPr>
              <w:jc w:val="center"/>
              <w:rPr>
                <w:sz w:val="24"/>
                <w:szCs w:val="24"/>
              </w:rPr>
            </w:pPr>
            <w:r>
              <w:rPr>
                <w:sz w:val="24"/>
                <w:szCs w:val="24"/>
              </w:rPr>
              <w:t>1</w:t>
            </w:r>
          </w:p>
        </w:tc>
        <w:tc>
          <w:tcPr>
            <w:tcW w:w="1697" w:type="dxa"/>
            <w:vMerge/>
          </w:tcPr>
          <w:p w14:paraId="521792FD" w14:textId="77777777" w:rsidR="00F652DD" w:rsidRPr="006C1629" w:rsidRDefault="00F652DD" w:rsidP="00EE6FD7">
            <w:pPr>
              <w:jc w:val="center"/>
              <w:rPr>
                <w:sz w:val="24"/>
                <w:szCs w:val="24"/>
              </w:rPr>
            </w:pPr>
          </w:p>
        </w:tc>
      </w:tr>
      <w:tr w:rsidR="00F652DD" w:rsidRPr="006C1629" w14:paraId="1996C606" w14:textId="77777777" w:rsidTr="00EE6FD7">
        <w:trPr>
          <w:trHeight w:val="135"/>
        </w:trPr>
        <w:tc>
          <w:tcPr>
            <w:tcW w:w="1943" w:type="dxa"/>
            <w:vMerge/>
          </w:tcPr>
          <w:p w14:paraId="404D2ECD" w14:textId="77777777" w:rsidR="00F652DD" w:rsidRPr="006C1629" w:rsidRDefault="00F652DD" w:rsidP="00DB7F7F">
            <w:pPr>
              <w:rPr>
                <w:sz w:val="24"/>
                <w:szCs w:val="24"/>
              </w:rPr>
            </w:pPr>
          </w:p>
        </w:tc>
        <w:tc>
          <w:tcPr>
            <w:tcW w:w="1750" w:type="dxa"/>
            <w:vMerge w:val="restart"/>
          </w:tcPr>
          <w:p w14:paraId="6C0957F8" w14:textId="1918BE14" w:rsidR="00F652DD" w:rsidRPr="006C1629" w:rsidRDefault="00F652DD" w:rsidP="00DB7F7F">
            <w:pPr>
              <w:rPr>
                <w:sz w:val="24"/>
                <w:szCs w:val="24"/>
              </w:rPr>
            </w:pPr>
            <w:r>
              <w:rPr>
                <w:sz w:val="24"/>
                <w:szCs w:val="24"/>
              </w:rPr>
              <w:t>Versión libre</w:t>
            </w:r>
          </w:p>
        </w:tc>
        <w:tc>
          <w:tcPr>
            <w:tcW w:w="1730" w:type="dxa"/>
          </w:tcPr>
          <w:p w14:paraId="3D80BBB5" w14:textId="38A47C79" w:rsidR="00F652DD" w:rsidRPr="006C1629" w:rsidRDefault="00F652DD" w:rsidP="00EE6FD7">
            <w:pPr>
              <w:jc w:val="center"/>
              <w:rPr>
                <w:sz w:val="24"/>
                <w:szCs w:val="24"/>
              </w:rPr>
            </w:pPr>
            <w:r>
              <w:rPr>
                <w:sz w:val="24"/>
                <w:szCs w:val="24"/>
              </w:rPr>
              <w:t>Activo</w:t>
            </w:r>
          </w:p>
        </w:tc>
        <w:tc>
          <w:tcPr>
            <w:tcW w:w="1710" w:type="dxa"/>
          </w:tcPr>
          <w:p w14:paraId="0EADD6EA" w14:textId="6B78D896" w:rsidR="00F652DD" w:rsidRPr="006C1629" w:rsidRDefault="00F652DD" w:rsidP="00EE6FD7">
            <w:pPr>
              <w:jc w:val="center"/>
              <w:rPr>
                <w:sz w:val="24"/>
                <w:szCs w:val="24"/>
              </w:rPr>
            </w:pPr>
            <w:r>
              <w:rPr>
                <w:sz w:val="24"/>
                <w:szCs w:val="24"/>
              </w:rPr>
              <w:t>13</w:t>
            </w:r>
          </w:p>
        </w:tc>
        <w:tc>
          <w:tcPr>
            <w:tcW w:w="1697" w:type="dxa"/>
            <w:vMerge w:val="restart"/>
          </w:tcPr>
          <w:p w14:paraId="3E1A7F69" w14:textId="7C9D271D" w:rsidR="00F652DD" w:rsidRPr="006C1629" w:rsidRDefault="00F652DD" w:rsidP="00EE6FD7">
            <w:pPr>
              <w:jc w:val="center"/>
              <w:rPr>
                <w:sz w:val="24"/>
                <w:szCs w:val="24"/>
              </w:rPr>
            </w:pPr>
            <w:r>
              <w:rPr>
                <w:sz w:val="24"/>
                <w:szCs w:val="24"/>
              </w:rPr>
              <w:t>14</w:t>
            </w:r>
          </w:p>
        </w:tc>
      </w:tr>
      <w:tr w:rsidR="00F652DD" w:rsidRPr="006C1629" w14:paraId="1EFF295E" w14:textId="77777777" w:rsidTr="00DB7F7F">
        <w:trPr>
          <w:trHeight w:val="135"/>
        </w:trPr>
        <w:tc>
          <w:tcPr>
            <w:tcW w:w="1943" w:type="dxa"/>
            <w:vMerge/>
          </w:tcPr>
          <w:p w14:paraId="4CDF52D5" w14:textId="77777777" w:rsidR="00F652DD" w:rsidRPr="006C1629" w:rsidRDefault="00F652DD" w:rsidP="00DB7F7F">
            <w:pPr>
              <w:rPr>
                <w:sz w:val="24"/>
                <w:szCs w:val="24"/>
              </w:rPr>
            </w:pPr>
          </w:p>
        </w:tc>
        <w:tc>
          <w:tcPr>
            <w:tcW w:w="1750" w:type="dxa"/>
            <w:vMerge/>
          </w:tcPr>
          <w:p w14:paraId="2E79961D" w14:textId="77777777" w:rsidR="00F652DD" w:rsidRDefault="00F652DD" w:rsidP="00DB7F7F">
            <w:pPr>
              <w:rPr>
                <w:sz w:val="24"/>
                <w:szCs w:val="24"/>
              </w:rPr>
            </w:pPr>
          </w:p>
        </w:tc>
        <w:tc>
          <w:tcPr>
            <w:tcW w:w="1730" w:type="dxa"/>
          </w:tcPr>
          <w:p w14:paraId="09809D1F" w14:textId="7B2C311B" w:rsidR="00F652DD" w:rsidRPr="006C1629" w:rsidRDefault="00F652DD" w:rsidP="00EE6FD7">
            <w:pPr>
              <w:jc w:val="center"/>
              <w:rPr>
                <w:sz w:val="24"/>
                <w:szCs w:val="24"/>
              </w:rPr>
            </w:pPr>
            <w:r>
              <w:rPr>
                <w:sz w:val="24"/>
                <w:szCs w:val="24"/>
              </w:rPr>
              <w:t>Sin SIJYP</w:t>
            </w:r>
          </w:p>
        </w:tc>
        <w:tc>
          <w:tcPr>
            <w:tcW w:w="1710" w:type="dxa"/>
          </w:tcPr>
          <w:p w14:paraId="261865C9" w14:textId="1619F372" w:rsidR="00F652DD" w:rsidRPr="006C1629" w:rsidRDefault="00F652DD" w:rsidP="00EE6FD7">
            <w:pPr>
              <w:jc w:val="center"/>
              <w:rPr>
                <w:sz w:val="24"/>
                <w:szCs w:val="24"/>
              </w:rPr>
            </w:pPr>
            <w:r>
              <w:rPr>
                <w:sz w:val="24"/>
                <w:szCs w:val="24"/>
              </w:rPr>
              <w:t>1</w:t>
            </w:r>
          </w:p>
        </w:tc>
        <w:tc>
          <w:tcPr>
            <w:tcW w:w="1697" w:type="dxa"/>
            <w:vMerge/>
          </w:tcPr>
          <w:p w14:paraId="11059A5A" w14:textId="77777777" w:rsidR="00F652DD" w:rsidRPr="006C1629" w:rsidRDefault="00F652DD" w:rsidP="00EE6FD7">
            <w:pPr>
              <w:jc w:val="center"/>
              <w:rPr>
                <w:sz w:val="24"/>
                <w:szCs w:val="24"/>
              </w:rPr>
            </w:pPr>
          </w:p>
        </w:tc>
      </w:tr>
      <w:tr w:rsidR="00F652DD" w:rsidRPr="006C1629" w14:paraId="34DE73BB" w14:textId="77777777" w:rsidTr="00DB7F7F">
        <w:tc>
          <w:tcPr>
            <w:tcW w:w="1943" w:type="dxa"/>
            <w:vMerge/>
          </w:tcPr>
          <w:p w14:paraId="483796B7" w14:textId="77777777" w:rsidR="00F652DD" w:rsidRPr="006C1629" w:rsidRDefault="00F652DD" w:rsidP="00DB7F7F">
            <w:pPr>
              <w:rPr>
                <w:sz w:val="24"/>
                <w:szCs w:val="24"/>
              </w:rPr>
            </w:pPr>
          </w:p>
        </w:tc>
        <w:tc>
          <w:tcPr>
            <w:tcW w:w="1750" w:type="dxa"/>
          </w:tcPr>
          <w:p w14:paraId="179DCFB6" w14:textId="31898F33" w:rsidR="00F652DD" w:rsidRPr="006C1629" w:rsidRDefault="00F652DD" w:rsidP="00DB7F7F">
            <w:pPr>
              <w:rPr>
                <w:sz w:val="24"/>
                <w:szCs w:val="24"/>
              </w:rPr>
            </w:pPr>
            <w:r>
              <w:rPr>
                <w:sz w:val="24"/>
                <w:szCs w:val="24"/>
              </w:rPr>
              <w:t>Audiencia concentrada</w:t>
            </w:r>
          </w:p>
        </w:tc>
        <w:tc>
          <w:tcPr>
            <w:tcW w:w="1730" w:type="dxa"/>
          </w:tcPr>
          <w:p w14:paraId="1C363BCE" w14:textId="6964D603" w:rsidR="00F652DD" w:rsidRPr="006C1629" w:rsidRDefault="00F652DD" w:rsidP="00EE6FD7">
            <w:pPr>
              <w:jc w:val="center"/>
              <w:rPr>
                <w:sz w:val="24"/>
                <w:szCs w:val="24"/>
              </w:rPr>
            </w:pPr>
            <w:r>
              <w:rPr>
                <w:sz w:val="24"/>
                <w:szCs w:val="24"/>
              </w:rPr>
              <w:t>Activo</w:t>
            </w:r>
          </w:p>
        </w:tc>
        <w:tc>
          <w:tcPr>
            <w:tcW w:w="1710" w:type="dxa"/>
          </w:tcPr>
          <w:p w14:paraId="67A11AA3" w14:textId="33F28769" w:rsidR="00F652DD" w:rsidRPr="006C1629" w:rsidRDefault="00F652DD" w:rsidP="00EE6FD7">
            <w:pPr>
              <w:jc w:val="center"/>
              <w:rPr>
                <w:sz w:val="24"/>
                <w:szCs w:val="24"/>
              </w:rPr>
            </w:pPr>
            <w:r>
              <w:rPr>
                <w:sz w:val="24"/>
                <w:szCs w:val="24"/>
              </w:rPr>
              <w:t>8</w:t>
            </w:r>
          </w:p>
        </w:tc>
        <w:tc>
          <w:tcPr>
            <w:tcW w:w="1697" w:type="dxa"/>
          </w:tcPr>
          <w:p w14:paraId="2A87C006" w14:textId="7A4194FE" w:rsidR="00F652DD" w:rsidRPr="006C1629" w:rsidRDefault="00F652DD" w:rsidP="00EE6FD7">
            <w:pPr>
              <w:jc w:val="center"/>
              <w:rPr>
                <w:sz w:val="24"/>
                <w:szCs w:val="24"/>
              </w:rPr>
            </w:pPr>
            <w:r>
              <w:rPr>
                <w:sz w:val="24"/>
                <w:szCs w:val="24"/>
              </w:rPr>
              <w:t>8</w:t>
            </w:r>
          </w:p>
        </w:tc>
      </w:tr>
      <w:tr w:rsidR="00F652DD" w:rsidRPr="006C1629" w14:paraId="58893543" w14:textId="77777777" w:rsidTr="00DB7F7F">
        <w:tc>
          <w:tcPr>
            <w:tcW w:w="1943" w:type="dxa"/>
            <w:vMerge/>
          </w:tcPr>
          <w:p w14:paraId="5BE73FB7" w14:textId="77777777" w:rsidR="00F652DD" w:rsidRPr="006C1629" w:rsidRDefault="00F652DD" w:rsidP="00DB7F7F">
            <w:pPr>
              <w:rPr>
                <w:sz w:val="24"/>
                <w:szCs w:val="24"/>
              </w:rPr>
            </w:pPr>
          </w:p>
        </w:tc>
        <w:tc>
          <w:tcPr>
            <w:tcW w:w="1750" w:type="dxa"/>
          </w:tcPr>
          <w:p w14:paraId="518427D2" w14:textId="637F467C" w:rsidR="00F652DD" w:rsidRPr="006C1629" w:rsidRDefault="00F652DD" w:rsidP="00DB7F7F">
            <w:pPr>
              <w:rPr>
                <w:sz w:val="24"/>
                <w:szCs w:val="24"/>
              </w:rPr>
            </w:pPr>
            <w:r>
              <w:rPr>
                <w:sz w:val="24"/>
                <w:szCs w:val="24"/>
              </w:rPr>
              <w:t>Sentencia</w:t>
            </w:r>
          </w:p>
        </w:tc>
        <w:tc>
          <w:tcPr>
            <w:tcW w:w="1730" w:type="dxa"/>
          </w:tcPr>
          <w:p w14:paraId="5C731F02" w14:textId="77777777" w:rsidR="00F652DD" w:rsidRDefault="00F652DD" w:rsidP="00EE6FD7">
            <w:pPr>
              <w:jc w:val="center"/>
              <w:rPr>
                <w:sz w:val="24"/>
                <w:szCs w:val="24"/>
              </w:rPr>
            </w:pPr>
            <w:r>
              <w:rPr>
                <w:sz w:val="24"/>
                <w:szCs w:val="24"/>
              </w:rPr>
              <w:t>Activo</w:t>
            </w:r>
          </w:p>
          <w:p w14:paraId="55F8830C" w14:textId="77777777" w:rsidR="00F652DD" w:rsidRPr="006C1629" w:rsidRDefault="00F652DD" w:rsidP="00EE6FD7">
            <w:pPr>
              <w:jc w:val="center"/>
              <w:rPr>
                <w:sz w:val="24"/>
                <w:szCs w:val="24"/>
              </w:rPr>
            </w:pPr>
          </w:p>
        </w:tc>
        <w:tc>
          <w:tcPr>
            <w:tcW w:w="1710" w:type="dxa"/>
          </w:tcPr>
          <w:p w14:paraId="39C84272" w14:textId="40FDC9E9" w:rsidR="00F652DD" w:rsidRPr="006C1629" w:rsidRDefault="00F652DD" w:rsidP="00EE6FD7">
            <w:pPr>
              <w:jc w:val="center"/>
              <w:rPr>
                <w:sz w:val="24"/>
                <w:szCs w:val="24"/>
              </w:rPr>
            </w:pPr>
            <w:r>
              <w:rPr>
                <w:sz w:val="24"/>
                <w:szCs w:val="24"/>
              </w:rPr>
              <w:t>2</w:t>
            </w:r>
          </w:p>
        </w:tc>
        <w:tc>
          <w:tcPr>
            <w:tcW w:w="1697" w:type="dxa"/>
          </w:tcPr>
          <w:p w14:paraId="52A9D625" w14:textId="6337D060" w:rsidR="00F652DD" w:rsidRPr="006C1629" w:rsidRDefault="00F652DD" w:rsidP="00EE6FD7">
            <w:pPr>
              <w:jc w:val="center"/>
              <w:rPr>
                <w:sz w:val="24"/>
                <w:szCs w:val="24"/>
              </w:rPr>
            </w:pPr>
            <w:r>
              <w:rPr>
                <w:sz w:val="24"/>
                <w:szCs w:val="24"/>
              </w:rPr>
              <w:t>2</w:t>
            </w:r>
          </w:p>
        </w:tc>
      </w:tr>
      <w:tr w:rsidR="00F652DD" w:rsidRPr="006C1629" w14:paraId="55BE1F58" w14:textId="77777777" w:rsidTr="00DB7F7F">
        <w:tc>
          <w:tcPr>
            <w:tcW w:w="1943" w:type="dxa"/>
            <w:vMerge/>
          </w:tcPr>
          <w:p w14:paraId="22CD33CB" w14:textId="47797B79" w:rsidR="00F652DD" w:rsidRPr="006C1629" w:rsidRDefault="00F652DD" w:rsidP="00DB7F7F">
            <w:pPr>
              <w:rPr>
                <w:sz w:val="24"/>
                <w:szCs w:val="24"/>
              </w:rPr>
            </w:pPr>
          </w:p>
        </w:tc>
        <w:tc>
          <w:tcPr>
            <w:tcW w:w="1750" w:type="dxa"/>
          </w:tcPr>
          <w:p w14:paraId="3548AE2A" w14:textId="707B3745" w:rsidR="00F652DD" w:rsidRPr="006C1629" w:rsidRDefault="00F652DD" w:rsidP="00DB7F7F">
            <w:pPr>
              <w:rPr>
                <w:sz w:val="24"/>
                <w:szCs w:val="24"/>
              </w:rPr>
            </w:pPr>
            <w:r>
              <w:rPr>
                <w:sz w:val="24"/>
                <w:szCs w:val="24"/>
              </w:rPr>
              <w:t>Incidente de reparación</w:t>
            </w:r>
          </w:p>
        </w:tc>
        <w:tc>
          <w:tcPr>
            <w:tcW w:w="1730" w:type="dxa"/>
          </w:tcPr>
          <w:p w14:paraId="404E5CAC" w14:textId="1A82B271" w:rsidR="00F652DD" w:rsidRPr="006C1629" w:rsidRDefault="00F652DD" w:rsidP="00EE6FD7">
            <w:pPr>
              <w:jc w:val="center"/>
              <w:rPr>
                <w:sz w:val="24"/>
                <w:szCs w:val="24"/>
              </w:rPr>
            </w:pPr>
            <w:r>
              <w:rPr>
                <w:sz w:val="24"/>
                <w:szCs w:val="24"/>
              </w:rPr>
              <w:t>Activo</w:t>
            </w:r>
          </w:p>
        </w:tc>
        <w:tc>
          <w:tcPr>
            <w:tcW w:w="1710" w:type="dxa"/>
          </w:tcPr>
          <w:p w14:paraId="1945FD0A" w14:textId="6F41DFD1" w:rsidR="00F652DD" w:rsidRPr="006C1629" w:rsidRDefault="00F652DD" w:rsidP="00EE6FD7">
            <w:pPr>
              <w:jc w:val="center"/>
              <w:rPr>
                <w:sz w:val="24"/>
                <w:szCs w:val="24"/>
              </w:rPr>
            </w:pPr>
            <w:r>
              <w:rPr>
                <w:sz w:val="24"/>
                <w:szCs w:val="24"/>
              </w:rPr>
              <w:t>2</w:t>
            </w:r>
          </w:p>
        </w:tc>
        <w:tc>
          <w:tcPr>
            <w:tcW w:w="1697" w:type="dxa"/>
          </w:tcPr>
          <w:p w14:paraId="2D093835" w14:textId="4D34592C" w:rsidR="00F652DD" w:rsidRPr="006C1629" w:rsidRDefault="00F652DD" w:rsidP="00EE6FD7">
            <w:pPr>
              <w:jc w:val="center"/>
              <w:rPr>
                <w:sz w:val="24"/>
                <w:szCs w:val="24"/>
              </w:rPr>
            </w:pPr>
            <w:r>
              <w:rPr>
                <w:sz w:val="24"/>
                <w:szCs w:val="24"/>
              </w:rPr>
              <w:t>2</w:t>
            </w:r>
          </w:p>
        </w:tc>
      </w:tr>
      <w:tr w:rsidR="00F652DD" w:rsidRPr="006C1629" w14:paraId="5CA47DCF" w14:textId="77777777" w:rsidTr="00DB7F7F">
        <w:tc>
          <w:tcPr>
            <w:tcW w:w="1943" w:type="dxa"/>
            <w:vMerge/>
          </w:tcPr>
          <w:p w14:paraId="79C567DB" w14:textId="77777777" w:rsidR="00F652DD" w:rsidRPr="006C1629" w:rsidRDefault="00F652DD" w:rsidP="00DB7F7F">
            <w:pPr>
              <w:rPr>
                <w:sz w:val="24"/>
                <w:szCs w:val="24"/>
              </w:rPr>
            </w:pPr>
          </w:p>
        </w:tc>
        <w:tc>
          <w:tcPr>
            <w:tcW w:w="1750" w:type="dxa"/>
          </w:tcPr>
          <w:p w14:paraId="252E2430" w14:textId="3AA13524" w:rsidR="00F652DD" w:rsidRPr="006C1629" w:rsidRDefault="00F652DD" w:rsidP="00DB7F7F">
            <w:pPr>
              <w:rPr>
                <w:sz w:val="24"/>
                <w:szCs w:val="24"/>
              </w:rPr>
            </w:pPr>
            <w:r>
              <w:rPr>
                <w:sz w:val="24"/>
                <w:szCs w:val="24"/>
              </w:rPr>
              <w:t>Fuera del marco de la Ley 975</w:t>
            </w:r>
          </w:p>
        </w:tc>
        <w:tc>
          <w:tcPr>
            <w:tcW w:w="1730" w:type="dxa"/>
          </w:tcPr>
          <w:p w14:paraId="762F0101" w14:textId="23045898" w:rsidR="00F652DD" w:rsidRPr="006C1629" w:rsidRDefault="00F652DD" w:rsidP="00EE6FD7">
            <w:pPr>
              <w:jc w:val="center"/>
              <w:rPr>
                <w:sz w:val="24"/>
                <w:szCs w:val="24"/>
              </w:rPr>
            </w:pPr>
            <w:r>
              <w:rPr>
                <w:sz w:val="24"/>
                <w:szCs w:val="24"/>
              </w:rPr>
              <w:t>Inactivo</w:t>
            </w:r>
          </w:p>
        </w:tc>
        <w:tc>
          <w:tcPr>
            <w:tcW w:w="1710" w:type="dxa"/>
          </w:tcPr>
          <w:p w14:paraId="04466CB7" w14:textId="6C4DDDC0" w:rsidR="00F652DD" w:rsidRPr="006C1629" w:rsidRDefault="00F652DD" w:rsidP="00EE6FD7">
            <w:pPr>
              <w:jc w:val="center"/>
              <w:rPr>
                <w:sz w:val="24"/>
                <w:szCs w:val="24"/>
              </w:rPr>
            </w:pPr>
            <w:r>
              <w:rPr>
                <w:sz w:val="24"/>
                <w:szCs w:val="24"/>
              </w:rPr>
              <w:t>1</w:t>
            </w:r>
          </w:p>
        </w:tc>
        <w:tc>
          <w:tcPr>
            <w:tcW w:w="1697" w:type="dxa"/>
          </w:tcPr>
          <w:p w14:paraId="1CC56AF2" w14:textId="0240F6C1" w:rsidR="00F652DD" w:rsidRPr="006C1629" w:rsidRDefault="00F652DD" w:rsidP="00EE6FD7">
            <w:pPr>
              <w:jc w:val="center"/>
              <w:rPr>
                <w:sz w:val="24"/>
                <w:szCs w:val="24"/>
              </w:rPr>
            </w:pPr>
            <w:r>
              <w:rPr>
                <w:sz w:val="24"/>
                <w:szCs w:val="24"/>
              </w:rPr>
              <w:t>1</w:t>
            </w:r>
          </w:p>
        </w:tc>
      </w:tr>
      <w:tr w:rsidR="00EE6FD7" w:rsidRPr="006C1629" w14:paraId="6786D603" w14:textId="77777777" w:rsidTr="00DB7F7F">
        <w:tc>
          <w:tcPr>
            <w:tcW w:w="5423" w:type="dxa"/>
            <w:gridSpan w:val="3"/>
          </w:tcPr>
          <w:p w14:paraId="243C3685" w14:textId="65671B52" w:rsidR="00EE6FD7" w:rsidRPr="006C1629" w:rsidRDefault="00EE6FD7" w:rsidP="00EE6FD7">
            <w:pPr>
              <w:jc w:val="right"/>
              <w:rPr>
                <w:sz w:val="24"/>
                <w:szCs w:val="24"/>
              </w:rPr>
            </w:pPr>
            <w:r>
              <w:rPr>
                <w:sz w:val="24"/>
                <w:szCs w:val="24"/>
              </w:rPr>
              <w:t>Total</w:t>
            </w:r>
          </w:p>
        </w:tc>
        <w:tc>
          <w:tcPr>
            <w:tcW w:w="3407" w:type="dxa"/>
            <w:gridSpan w:val="2"/>
          </w:tcPr>
          <w:p w14:paraId="005211F0" w14:textId="11470217" w:rsidR="00EE6FD7" w:rsidRPr="006C1629" w:rsidRDefault="00EE6FD7" w:rsidP="00EE6FD7">
            <w:pPr>
              <w:jc w:val="center"/>
              <w:rPr>
                <w:sz w:val="24"/>
                <w:szCs w:val="24"/>
              </w:rPr>
            </w:pPr>
            <w:r>
              <w:rPr>
                <w:sz w:val="24"/>
                <w:szCs w:val="24"/>
              </w:rPr>
              <w:t>70</w:t>
            </w:r>
          </w:p>
        </w:tc>
      </w:tr>
    </w:tbl>
    <w:p w14:paraId="04F2D939" w14:textId="77777777" w:rsidR="00F01721" w:rsidRDefault="00F01721" w:rsidP="00FD4570"/>
    <w:p w14:paraId="57CFDE7A" w14:textId="21ACBFDB" w:rsidR="00636984" w:rsidRDefault="00636984" w:rsidP="00636984">
      <w:r>
        <w:t>Según</w:t>
      </w:r>
      <w:r w:rsidR="00C64D7B">
        <w:t xml:space="preserve"> lo anterior, la Fiscalía indicó</w:t>
      </w:r>
      <w:r>
        <w:t xml:space="preserve"> que “el </w:t>
      </w:r>
      <w:r w:rsidRPr="00636984">
        <w:t>total de investigaciones”</w:t>
      </w:r>
      <w:r w:rsidRPr="00636984">
        <w:rPr>
          <w:vertAlign w:val="superscript"/>
        </w:rPr>
        <w:footnoteReference w:id="15"/>
      </w:r>
      <w:r w:rsidRPr="00636984">
        <w:t xml:space="preserve"> relacionadas con los casos del anexo reservado del </w:t>
      </w:r>
      <w:r w:rsidRPr="00636984">
        <w:rPr>
          <w:b/>
        </w:rPr>
        <w:t>Auto 092 de 2008</w:t>
      </w:r>
      <w:r w:rsidRPr="00636984">
        <w:t>, son 228: 140 por Ley 600, 18 por Ley 906 y 70 por Ley 975</w:t>
      </w:r>
      <w:r>
        <w:t>. Sin embargo, no queda claro</w:t>
      </w:r>
      <w:r w:rsidR="005D1374">
        <w:t>:</w:t>
      </w:r>
      <w:r>
        <w:t xml:space="preserve"> </w:t>
      </w:r>
      <w:r w:rsidR="005D1374">
        <w:t xml:space="preserve">(i) </w:t>
      </w:r>
      <w:r>
        <w:t xml:space="preserve">por qué se incluyen dentro </w:t>
      </w:r>
      <w:r w:rsidR="005D1374">
        <w:t xml:space="preserve">del total de investigaciones </w:t>
      </w:r>
      <w:r>
        <w:t>aquellos casos que se encuentran inactivos</w:t>
      </w:r>
      <w:r w:rsidR="008342D8">
        <w:t>;</w:t>
      </w:r>
      <w:r w:rsidR="005D1374">
        <w:t xml:space="preserve"> (ii) </w:t>
      </w:r>
      <w:r w:rsidR="004F0B9A">
        <w:t xml:space="preserve">qué significa que los </w:t>
      </w:r>
      <w:r w:rsidR="005E1926">
        <w:t>dos</w:t>
      </w:r>
      <w:r w:rsidR="005D1374">
        <w:t xml:space="preserve"> casos que tienen sentencia y que fueron procesados por</w:t>
      </w:r>
      <w:r w:rsidR="008342D8">
        <w:t xml:space="preserve"> Ley 975 estén activos; y (iii) cu</w:t>
      </w:r>
      <w:r w:rsidR="00B1549D">
        <w:t>á</w:t>
      </w:r>
      <w:r w:rsidR="00253E4E">
        <w:t>l es el paso a seguir con relació</w:t>
      </w:r>
      <w:r w:rsidR="004F0B9A">
        <w:t xml:space="preserve">n a los </w:t>
      </w:r>
      <w:r w:rsidR="005E1926">
        <w:t>dos</w:t>
      </w:r>
      <w:r w:rsidR="00253E4E">
        <w:t xml:space="preserve"> casos con NUNC.</w:t>
      </w:r>
    </w:p>
    <w:p w14:paraId="7D9693E6" w14:textId="77777777" w:rsidR="00636984" w:rsidRDefault="00636984" w:rsidP="00FD4570"/>
    <w:p w14:paraId="1B2E5BEE" w14:textId="01FC3CBA" w:rsidR="00636984" w:rsidRPr="00F652DD" w:rsidRDefault="00636984" w:rsidP="00636984">
      <w:pPr>
        <w:autoSpaceDE w:val="0"/>
        <w:autoSpaceDN w:val="0"/>
        <w:adjustRightInd w:val="0"/>
        <w:rPr>
          <w:rFonts w:eastAsiaTheme="minorHAnsi" w:cs="Times New Roman"/>
          <w:b/>
          <w:bCs/>
          <w:szCs w:val="28"/>
        </w:rPr>
      </w:pPr>
      <w:r>
        <w:rPr>
          <w:rFonts w:eastAsiaTheme="minorHAnsi" w:cs="Times New Roman"/>
          <w:b/>
          <w:bCs/>
          <w:szCs w:val="28"/>
        </w:rPr>
        <w:t>Tabla 2</w:t>
      </w:r>
      <w:r w:rsidRPr="00F652DD">
        <w:rPr>
          <w:rFonts w:eastAsiaTheme="minorHAnsi" w:cs="Times New Roman"/>
          <w:b/>
          <w:bCs/>
          <w:szCs w:val="28"/>
        </w:rPr>
        <w:t xml:space="preserve">. Investigaciones relacionadas con los casos incluidos en el anexo reservado del Auto </w:t>
      </w:r>
      <w:r>
        <w:rPr>
          <w:rFonts w:eastAsiaTheme="minorHAnsi" w:cs="Times New Roman"/>
          <w:b/>
          <w:bCs/>
          <w:szCs w:val="28"/>
        </w:rPr>
        <w:t>009 de 2015</w:t>
      </w:r>
      <w:r w:rsidRPr="00F652DD">
        <w:rPr>
          <w:rFonts w:eastAsiaTheme="minorHAnsi" w:cs="Times New Roman"/>
          <w:b/>
          <w:bCs/>
          <w:szCs w:val="28"/>
        </w:rPr>
        <w:t>, discriminado por etapa procesal, estado y sistema de procedimiento penal</w:t>
      </w:r>
      <w:r>
        <w:rPr>
          <w:rStyle w:val="Refdenotaalpie"/>
          <w:rFonts w:eastAsiaTheme="minorHAnsi" w:cs="Times New Roman"/>
          <w:b/>
          <w:bCs/>
          <w:szCs w:val="28"/>
        </w:rPr>
        <w:footnoteReference w:id="16"/>
      </w:r>
      <w:r>
        <w:rPr>
          <w:rFonts w:eastAsiaTheme="minorHAnsi" w:cs="Times New Roman"/>
          <w:b/>
          <w:bCs/>
          <w:szCs w:val="28"/>
        </w:rPr>
        <w:t>.</w:t>
      </w:r>
    </w:p>
    <w:p w14:paraId="5C897986" w14:textId="77777777" w:rsidR="00636984" w:rsidRDefault="00636984" w:rsidP="00636984"/>
    <w:tbl>
      <w:tblPr>
        <w:tblStyle w:val="Tablaconcuadrcula"/>
        <w:tblW w:w="0" w:type="auto"/>
        <w:tblLook w:val="04A0" w:firstRow="1" w:lastRow="0" w:firstColumn="1" w:lastColumn="0" w:noHBand="0" w:noVBand="1"/>
      </w:tblPr>
      <w:tblGrid>
        <w:gridCol w:w="1943"/>
        <w:gridCol w:w="1750"/>
        <w:gridCol w:w="1730"/>
        <w:gridCol w:w="1710"/>
        <w:gridCol w:w="1697"/>
      </w:tblGrid>
      <w:tr w:rsidR="00636984" w:rsidRPr="006C1629" w14:paraId="72D1F779" w14:textId="77777777" w:rsidTr="00DB7F7F">
        <w:tc>
          <w:tcPr>
            <w:tcW w:w="1943" w:type="dxa"/>
            <w:shd w:val="clear" w:color="auto" w:fill="BFBFBF" w:themeFill="background1" w:themeFillShade="BF"/>
          </w:tcPr>
          <w:p w14:paraId="2107EF23" w14:textId="77777777" w:rsidR="00636984" w:rsidRPr="006C1629" w:rsidRDefault="00636984" w:rsidP="00DB7F7F">
            <w:pPr>
              <w:jc w:val="center"/>
              <w:rPr>
                <w:b/>
                <w:sz w:val="24"/>
                <w:szCs w:val="24"/>
              </w:rPr>
            </w:pPr>
            <w:r w:rsidRPr="006C1629">
              <w:rPr>
                <w:b/>
                <w:sz w:val="24"/>
                <w:szCs w:val="24"/>
              </w:rPr>
              <w:t>Sistema de procedimiento penal</w:t>
            </w:r>
          </w:p>
        </w:tc>
        <w:tc>
          <w:tcPr>
            <w:tcW w:w="1750" w:type="dxa"/>
            <w:shd w:val="clear" w:color="auto" w:fill="BFBFBF" w:themeFill="background1" w:themeFillShade="BF"/>
          </w:tcPr>
          <w:p w14:paraId="486DC2F1" w14:textId="77777777" w:rsidR="00636984" w:rsidRPr="006C1629" w:rsidRDefault="00636984" w:rsidP="00DB7F7F">
            <w:pPr>
              <w:jc w:val="center"/>
              <w:rPr>
                <w:b/>
                <w:sz w:val="24"/>
                <w:szCs w:val="24"/>
              </w:rPr>
            </w:pPr>
            <w:r w:rsidRPr="006C1629">
              <w:rPr>
                <w:b/>
                <w:sz w:val="24"/>
                <w:szCs w:val="24"/>
              </w:rPr>
              <w:t>Etapa</w:t>
            </w:r>
          </w:p>
        </w:tc>
        <w:tc>
          <w:tcPr>
            <w:tcW w:w="1730" w:type="dxa"/>
            <w:shd w:val="clear" w:color="auto" w:fill="BFBFBF" w:themeFill="background1" w:themeFillShade="BF"/>
          </w:tcPr>
          <w:p w14:paraId="35DC7E5A" w14:textId="77777777" w:rsidR="00636984" w:rsidRPr="006C1629" w:rsidRDefault="00636984" w:rsidP="00DB7F7F">
            <w:pPr>
              <w:jc w:val="center"/>
              <w:rPr>
                <w:b/>
                <w:sz w:val="24"/>
                <w:szCs w:val="24"/>
              </w:rPr>
            </w:pPr>
            <w:r w:rsidRPr="006C1629">
              <w:rPr>
                <w:b/>
                <w:sz w:val="24"/>
                <w:szCs w:val="24"/>
              </w:rPr>
              <w:t>Estado</w:t>
            </w:r>
          </w:p>
        </w:tc>
        <w:tc>
          <w:tcPr>
            <w:tcW w:w="3407" w:type="dxa"/>
            <w:gridSpan w:val="2"/>
            <w:shd w:val="clear" w:color="auto" w:fill="BFBFBF" w:themeFill="background1" w:themeFillShade="BF"/>
          </w:tcPr>
          <w:p w14:paraId="66E824A0" w14:textId="77777777" w:rsidR="00636984" w:rsidRPr="006C1629" w:rsidRDefault="00636984" w:rsidP="00DB7F7F">
            <w:pPr>
              <w:jc w:val="center"/>
              <w:rPr>
                <w:b/>
                <w:sz w:val="24"/>
                <w:szCs w:val="24"/>
              </w:rPr>
            </w:pPr>
            <w:r w:rsidRPr="006C1629">
              <w:rPr>
                <w:b/>
                <w:sz w:val="24"/>
                <w:szCs w:val="24"/>
              </w:rPr>
              <w:t>No. de casos</w:t>
            </w:r>
          </w:p>
        </w:tc>
      </w:tr>
      <w:tr w:rsidR="00DB7F7F" w:rsidRPr="006C1629" w14:paraId="55D2F260" w14:textId="77777777" w:rsidTr="00DB7F7F">
        <w:trPr>
          <w:trHeight w:val="323"/>
        </w:trPr>
        <w:tc>
          <w:tcPr>
            <w:tcW w:w="1943" w:type="dxa"/>
            <w:vMerge w:val="restart"/>
          </w:tcPr>
          <w:p w14:paraId="7C0FC5A1" w14:textId="77777777" w:rsidR="00DB7F7F" w:rsidRPr="006C1629" w:rsidRDefault="00DB7F7F" w:rsidP="00DB7F7F">
            <w:pPr>
              <w:rPr>
                <w:sz w:val="24"/>
                <w:szCs w:val="24"/>
              </w:rPr>
            </w:pPr>
            <w:r w:rsidRPr="006C1629">
              <w:rPr>
                <w:sz w:val="24"/>
                <w:szCs w:val="24"/>
              </w:rPr>
              <w:t>Ley 600 de 2000</w:t>
            </w:r>
          </w:p>
        </w:tc>
        <w:tc>
          <w:tcPr>
            <w:tcW w:w="1750" w:type="dxa"/>
            <w:vMerge w:val="restart"/>
          </w:tcPr>
          <w:p w14:paraId="041DA841" w14:textId="77777777" w:rsidR="00DB7F7F" w:rsidRPr="006C1629" w:rsidRDefault="00DB7F7F" w:rsidP="00DB7F7F">
            <w:pPr>
              <w:rPr>
                <w:sz w:val="24"/>
                <w:szCs w:val="24"/>
              </w:rPr>
            </w:pPr>
            <w:r w:rsidRPr="006C1629">
              <w:rPr>
                <w:sz w:val="24"/>
                <w:szCs w:val="24"/>
              </w:rPr>
              <w:t>Investigación preliminar</w:t>
            </w:r>
          </w:p>
        </w:tc>
        <w:tc>
          <w:tcPr>
            <w:tcW w:w="1730" w:type="dxa"/>
          </w:tcPr>
          <w:p w14:paraId="00CC7559" w14:textId="77777777" w:rsidR="00DB7F7F" w:rsidRPr="006C1629" w:rsidRDefault="00DB7F7F" w:rsidP="00DB7F7F">
            <w:pPr>
              <w:jc w:val="center"/>
              <w:rPr>
                <w:sz w:val="24"/>
                <w:szCs w:val="24"/>
              </w:rPr>
            </w:pPr>
            <w:r w:rsidRPr="006C1629">
              <w:rPr>
                <w:sz w:val="24"/>
                <w:szCs w:val="24"/>
              </w:rPr>
              <w:t>Activo</w:t>
            </w:r>
          </w:p>
        </w:tc>
        <w:tc>
          <w:tcPr>
            <w:tcW w:w="1710" w:type="dxa"/>
          </w:tcPr>
          <w:p w14:paraId="3EBE7F7E" w14:textId="4B74F1A3" w:rsidR="00DB7F7F" w:rsidRPr="006C1629" w:rsidRDefault="00DB7F7F" w:rsidP="00DB7F7F">
            <w:pPr>
              <w:jc w:val="center"/>
              <w:rPr>
                <w:sz w:val="24"/>
                <w:szCs w:val="24"/>
              </w:rPr>
            </w:pPr>
            <w:r>
              <w:rPr>
                <w:sz w:val="24"/>
                <w:szCs w:val="24"/>
              </w:rPr>
              <w:t>26</w:t>
            </w:r>
          </w:p>
        </w:tc>
        <w:tc>
          <w:tcPr>
            <w:tcW w:w="1697" w:type="dxa"/>
            <w:vMerge w:val="restart"/>
          </w:tcPr>
          <w:p w14:paraId="2D2DEC67" w14:textId="371D53A0" w:rsidR="00DB7F7F" w:rsidRPr="006C1629" w:rsidRDefault="00DB7F7F" w:rsidP="00DB7F7F">
            <w:pPr>
              <w:jc w:val="center"/>
              <w:rPr>
                <w:sz w:val="24"/>
                <w:szCs w:val="24"/>
              </w:rPr>
            </w:pPr>
            <w:r>
              <w:rPr>
                <w:sz w:val="24"/>
                <w:szCs w:val="24"/>
              </w:rPr>
              <w:t>85</w:t>
            </w:r>
          </w:p>
        </w:tc>
      </w:tr>
      <w:tr w:rsidR="00DB7F7F" w:rsidRPr="006C1629" w14:paraId="2C9104C5" w14:textId="77777777" w:rsidTr="00DB7F7F">
        <w:trPr>
          <w:trHeight w:val="322"/>
        </w:trPr>
        <w:tc>
          <w:tcPr>
            <w:tcW w:w="1943" w:type="dxa"/>
            <w:vMerge/>
          </w:tcPr>
          <w:p w14:paraId="18A9273E" w14:textId="77777777" w:rsidR="00DB7F7F" w:rsidRPr="006C1629" w:rsidRDefault="00DB7F7F" w:rsidP="00DB7F7F">
            <w:pPr>
              <w:rPr>
                <w:sz w:val="24"/>
                <w:szCs w:val="24"/>
              </w:rPr>
            </w:pPr>
          </w:p>
        </w:tc>
        <w:tc>
          <w:tcPr>
            <w:tcW w:w="1750" w:type="dxa"/>
            <w:vMerge/>
          </w:tcPr>
          <w:p w14:paraId="2C532B40" w14:textId="77777777" w:rsidR="00DB7F7F" w:rsidRPr="006C1629" w:rsidRDefault="00DB7F7F" w:rsidP="00DB7F7F">
            <w:pPr>
              <w:rPr>
                <w:sz w:val="24"/>
                <w:szCs w:val="24"/>
              </w:rPr>
            </w:pPr>
          </w:p>
        </w:tc>
        <w:tc>
          <w:tcPr>
            <w:tcW w:w="1730" w:type="dxa"/>
          </w:tcPr>
          <w:p w14:paraId="0DAEF2CC" w14:textId="77777777" w:rsidR="00DB7F7F" w:rsidRPr="006C1629" w:rsidRDefault="00DB7F7F" w:rsidP="00DB7F7F">
            <w:pPr>
              <w:jc w:val="center"/>
              <w:rPr>
                <w:sz w:val="24"/>
                <w:szCs w:val="24"/>
              </w:rPr>
            </w:pPr>
            <w:r w:rsidRPr="006C1629">
              <w:rPr>
                <w:sz w:val="24"/>
                <w:szCs w:val="24"/>
              </w:rPr>
              <w:t>Inactivo</w:t>
            </w:r>
          </w:p>
        </w:tc>
        <w:tc>
          <w:tcPr>
            <w:tcW w:w="1710" w:type="dxa"/>
          </w:tcPr>
          <w:p w14:paraId="0BA52699" w14:textId="652C96E3" w:rsidR="00DB7F7F" w:rsidRPr="006C1629" w:rsidRDefault="00DB7F7F" w:rsidP="00DB7F7F">
            <w:pPr>
              <w:jc w:val="center"/>
              <w:rPr>
                <w:sz w:val="24"/>
                <w:szCs w:val="24"/>
              </w:rPr>
            </w:pPr>
            <w:r>
              <w:rPr>
                <w:sz w:val="24"/>
                <w:szCs w:val="24"/>
              </w:rPr>
              <w:t>59</w:t>
            </w:r>
          </w:p>
        </w:tc>
        <w:tc>
          <w:tcPr>
            <w:tcW w:w="1697" w:type="dxa"/>
            <w:vMerge/>
          </w:tcPr>
          <w:p w14:paraId="59C66EAF" w14:textId="77777777" w:rsidR="00DB7F7F" w:rsidRPr="006C1629" w:rsidRDefault="00DB7F7F" w:rsidP="00DB7F7F">
            <w:pPr>
              <w:jc w:val="center"/>
              <w:rPr>
                <w:sz w:val="24"/>
                <w:szCs w:val="24"/>
              </w:rPr>
            </w:pPr>
          </w:p>
        </w:tc>
      </w:tr>
      <w:tr w:rsidR="00DB7F7F" w:rsidRPr="006C1629" w14:paraId="6AB169E4" w14:textId="77777777" w:rsidTr="00DB7F7F">
        <w:trPr>
          <w:trHeight w:val="135"/>
        </w:trPr>
        <w:tc>
          <w:tcPr>
            <w:tcW w:w="1943" w:type="dxa"/>
            <w:vMerge/>
          </w:tcPr>
          <w:p w14:paraId="5270C132" w14:textId="77777777" w:rsidR="00DB7F7F" w:rsidRPr="006C1629" w:rsidRDefault="00DB7F7F" w:rsidP="00DB7F7F">
            <w:pPr>
              <w:rPr>
                <w:sz w:val="24"/>
                <w:szCs w:val="24"/>
              </w:rPr>
            </w:pPr>
          </w:p>
        </w:tc>
        <w:tc>
          <w:tcPr>
            <w:tcW w:w="1750" w:type="dxa"/>
            <w:vMerge w:val="restart"/>
          </w:tcPr>
          <w:p w14:paraId="4AB08DE1" w14:textId="77777777" w:rsidR="00DB7F7F" w:rsidRPr="006C1629" w:rsidRDefault="00DB7F7F" w:rsidP="00DB7F7F">
            <w:pPr>
              <w:rPr>
                <w:sz w:val="24"/>
                <w:szCs w:val="24"/>
              </w:rPr>
            </w:pPr>
            <w:r w:rsidRPr="006C1629">
              <w:rPr>
                <w:sz w:val="24"/>
                <w:szCs w:val="24"/>
              </w:rPr>
              <w:t>Instrucción</w:t>
            </w:r>
          </w:p>
        </w:tc>
        <w:tc>
          <w:tcPr>
            <w:tcW w:w="1730" w:type="dxa"/>
          </w:tcPr>
          <w:p w14:paraId="723FCE19" w14:textId="77777777" w:rsidR="00DB7F7F" w:rsidRPr="006C1629" w:rsidRDefault="00DB7F7F" w:rsidP="00DB7F7F">
            <w:pPr>
              <w:jc w:val="center"/>
              <w:rPr>
                <w:sz w:val="24"/>
                <w:szCs w:val="24"/>
              </w:rPr>
            </w:pPr>
            <w:r w:rsidRPr="006C1629">
              <w:rPr>
                <w:sz w:val="24"/>
                <w:szCs w:val="24"/>
              </w:rPr>
              <w:t>Activo</w:t>
            </w:r>
          </w:p>
        </w:tc>
        <w:tc>
          <w:tcPr>
            <w:tcW w:w="1710" w:type="dxa"/>
          </w:tcPr>
          <w:p w14:paraId="14D27B5D" w14:textId="48A4A23B" w:rsidR="00DB7F7F" w:rsidRPr="006C1629" w:rsidRDefault="00DB7F7F" w:rsidP="00DB7F7F">
            <w:pPr>
              <w:jc w:val="center"/>
              <w:rPr>
                <w:sz w:val="24"/>
                <w:szCs w:val="24"/>
              </w:rPr>
            </w:pPr>
            <w:r>
              <w:rPr>
                <w:sz w:val="24"/>
                <w:szCs w:val="24"/>
              </w:rPr>
              <w:t>4</w:t>
            </w:r>
          </w:p>
        </w:tc>
        <w:tc>
          <w:tcPr>
            <w:tcW w:w="1697" w:type="dxa"/>
            <w:vMerge w:val="restart"/>
          </w:tcPr>
          <w:p w14:paraId="69D35003" w14:textId="1B5B6247" w:rsidR="00DB7F7F" w:rsidRPr="006C1629" w:rsidRDefault="00DB7F7F" w:rsidP="00DB7F7F">
            <w:pPr>
              <w:jc w:val="center"/>
              <w:rPr>
                <w:sz w:val="24"/>
                <w:szCs w:val="24"/>
              </w:rPr>
            </w:pPr>
            <w:r>
              <w:rPr>
                <w:sz w:val="24"/>
                <w:szCs w:val="24"/>
              </w:rPr>
              <w:t>11</w:t>
            </w:r>
          </w:p>
        </w:tc>
      </w:tr>
      <w:tr w:rsidR="00DB7F7F" w:rsidRPr="006C1629" w14:paraId="4F525648" w14:textId="77777777" w:rsidTr="00DB7F7F">
        <w:trPr>
          <w:trHeight w:val="135"/>
        </w:trPr>
        <w:tc>
          <w:tcPr>
            <w:tcW w:w="1943" w:type="dxa"/>
            <w:vMerge/>
          </w:tcPr>
          <w:p w14:paraId="333831C3" w14:textId="77777777" w:rsidR="00DB7F7F" w:rsidRPr="006C1629" w:rsidRDefault="00DB7F7F" w:rsidP="00DB7F7F">
            <w:pPr>
              <w:rPr>
                <w:sz w:val="24"/>
                <w:szCs w:val="24"/>
              </w:rPr>
            </w:pPr>
          </w:p>
        </w:tc>
        <w:tc>
          <w:tcPr>
            <w:tcW w:w="1750" w:type="dxa"/>
            <w:vMerge/>
          </w:tcPr>
          <w:p w14:paraId="0DD9C8D4" w14:textId="77777777" w:rsidR="00DB7F7F" w:rsidRPr="006C1629" w:rsidRDefault="00DB7F7F" w:rsidP="00DB7F7F">
            <w:pPr>
              <w:rPr>
                <w:sz w:val="24"/>
                <w:szCs w:val="24"/>
              </w:rPr>
            </w:pPr>
          </w:p>
        </w:tc>
        <w:tc>
          <w:tcPr>
            <w:tcW w:w="1730" w:type="dxa"/>
          </w:tcPr>
          <w:p w14:paraId="76FA2F53" w14:textId="77777777" w:rsidR="00DB7F7F" w:rsidRPr="006C1629" w:rsidRDefault="00DB7F7F" w:rsidP="00DB7F7F">
            <w:pPr>
              <w:jc w:val="center"/>
              <w:rPr>
                <w:sz w:val="24"/>
                <w:szCs w:val="24"/>
              </w:rPr>
            </w:pPr>
            <w:r w:rsidRPr="006C1629">
              <w:rPr>
                <w:sz w:val="24"/>
                <w:szCs w:val="24"/>
              </w:rPr>
              <w:t>Inactivo</w:t>
            </w:r>
          </w:p>
        </w:tc>
        <w:tc>
          <w:tcPr>
            <w:tcW w:w="1710" w:type="dxa"/>
          </w:tcPr>
          <w:p w14:paraId="76F679D6" w14:textId="7DE58413" w:rsidR="00DB7F7F" w:rsidRPr="006C1629" w:rsidRDefault="00DB7F7F" w:rsidP="00DB7F7F">
            <w:pPr>
              <w:jc w:val="center"/>
              <w:rPr>
                <w:sz w:val="24"/>
                <w:szCs w:val="24"/>
              </w:rPr>
            </w:pPr>
            <w:r>
              <w:rPr>
                <w:sz w:val="24"/>
                <w:szCs w:val="24"/>
              </w:rPr>
              <w:t>7</w:t>
            </w:r>
          </w:p>
        </w:tc>
        <w:tc>
          <w:tcPr>
            <w:tcW w:w="1697" w:type="dxa"/>
            <w:vMerge/>
          </w:tcPr>
          <w:p w14:paraId="68ACFC27" w14:textId="77777777" w:rsidR="00DB7F7F" w:rsidRPr="006C1629" w:rsidRDefault="00DB7F7F" w:rsidP="00DB7F7F">
            <w:pPr>
              <w:jc w:val="center"/>
              <w:rPr>
                <w:sz w:val="24"/>
                <w:szCs w:val="24"/>
              </w:rPr>
            </w:pPr>
          </w:p>
        </w:tc>
      </w:tr>
      <w:tr w:rsidR="00DB7F7F" w:rsidRPr="006C1629" w14:paraId="5289E87C" w14:textId="77777777" w:rsidTr="00DB7F7F">
        <w:trPr>
          <w:trHeight w:val="562"/>
        </w:trPr>
        <w:tc>
          <w:tcPr>
            <w:tcW w:w="1943" w:type="dxa"/>
            <w:vMerge/>
          </w:tcPr>
          <w:p w14:paraId="24C4FA80" w14:textId="77777777" w:rsidR="00DB7F7F" w:rsidRPr="006C1629" w:rsidRDefault="00DB7F7F" w:rsidP="00DB7F7F">
            <w:pPr>
              <w:rPr>
                <w:sz w:val="24"/>
                <w:szCs w:val="24"/>
              </w:rPr>
            </w:pPr>
          </w:p>
        </w:tc>
        <w:tc>
          <w:tcPr>
            <w:tcW w:w="1750" w:type="dxa"/>
          </w:tcPr>
          <w:p w14:paraId="33CABB05" w14:textId="77777777" w:rsidR="00DB7F7F" w:rsidRPr="006C1629" w:rsidRDefault="00DB7F7F" w:rsidP="00DB7F7F">
            <w:pPr>
              <w:rPr>
                <w:sz w:val="24"/>
                <w:szCs w:val="24"/>
              </w:rPr>
            </w:pPr>
            <w:r w:rsidRPr="006C1629">
              <w:rPr>
                <w:sz w:val="24"/>
                <w:szCs w:val="24"/>
              </w:rPr>
              <w:t>Juicio</w:t>
            </w:r>
          </w:p>
        </w:tc>
        <w:tc>
          <w:tcPr>
            <w:tcW w:w="1730" w:type="dxa"/>
          </w:tcPr>
          <w:p w14:paraId="03758357" w14:textId="77777777" w:rsidR="00DB7F7F" w:rsidRPr="006C1629" w:rsidRDefault="00DB7F7F" w:rsidP="00DB7F7F">
            <w:pPr>
              <w:jc w:val="center"/>
              <w:rPr>
                <w:sz w:val="24"/>
                <w:szCs w:val="24"/>
              </w:rPr>
            </w:pPr>
            <w:r w:rsidRPr="006C1629">
              <w:rPr>
                <w:sz w:val="24"/>
                <w:szCs w:val="24"/>
              </w:rPr>
              <w:t>Activo</w:t>
            </w:r>
          </w:p>
        </w:tc>
        <w:tc>
          <w:tcPr>
            <w:tcW w:w="1710" w:type="dxa"/>
          </w:tcPr>
          <w:p w14:paraId="4E3C4FE2" w14:textId="103027E3" w:rsidR="00DB7F7F" w:rsidRPr="006C1629" w:rsidRDefault="00DB7F7F" w:rsidP="00DB7F7F">
            <w:pPr>
              <w:jc w:val="center"/>
              <w:rPr>
                <w:sz w:val="24"/>
                <w:szCs w:val="24"/>
              </w:rPr>
            </w:pPr>
            <w:r>
              <w:rPr>
                <w:sz w:val="24"/>
                <w:szCs w:val="24"/>
              </w:rPr>
              <w:t>1</w:t>
            </w:r>
          </w:p>
        </w:tc>
        <w:tc>
          <w:tcPr>
            <w:tcW w:w="1697" w:type="dxa"/>
          </w:tcPr>
          <w:p w14:paraId="7AD1828A" w14:textId="5D739B79" w:rsidR="00DB7F7F" w:rsidRPr="006C1629" w:rsidRDefault="00DB7F7F" w:rsidP="00DB7F7F">
            <w:pPr>
              <w:jc w:val="center"/>
              <w:rPr>
                <w:sz w:val="24"/>
                <w:szCs w:val="24"/>
              </w:rPr>
            </w:pPr>
            <w:r>
              <w:rPr>
                <w:sz w:val="24"/>
                <w:szCs w:val="24"/>
              </w:rPr>
              <w:t>1</w:t>
            </w:r>
          </w:p>
        </w:tc>
      </w:tr>
      <w:tr w:rsidR="00DB7F7F" w:rsidRPr="006C1629" w14:paraId="44B87D17" w14:textId="77777777" w:rsidTr="00DB7F7F">
        <w:trPr>
          <w:trHeight w:val="278"/>
        </w:trPr>
        <w:tc>
          <w:tcPr>
            <w:tcW w:w="1943" w:type="dxa"/>
            <w:vMerge/>
          </w:tcPr>
          <w:p w14:paraId="6EEF7F4F" w14:textId="77777777" w:rsidR="00DB7F7F" w:rsidRPr="006C1629" w:rsidRDefault="00DB7F7F" w:rsidP="00DB7F7F">
            <w:pPr>
              <w:rPr>
                <w:sz w:val="24"/>
                <w:szCs w:val="24"/>
              </w:rPr>
            </w:pPr>
          </w:p>
        </w:tc>
        <w:tc>
          <w:tcPr>
            <w:tcW w:w="1750" w:type="dxa"/>
            <w:vMerge w:val="restart"/>
          </w:tcPr>
          <w:p w14:paraId="74F3E07F" w14:textId="122BD71B" w:rsidR="00DB7F7F" w:rsidRPr="006C1629" w:rsidRDefault="00DB7F7F" w:rsidP="00DB7F7F">
            <w:pPr>
              <w:rPr>
                <w:sz w:val="24"/>
                <w:szCs w:val="24"/>
              </w:rPr>
            </w:pPr>
            <w:r>
              <w:rPr>
                <w:sz w:val="24"/>
                <w:szCs w:val="24"/>
              </w:rPr>
              <w:t>Con NUNC</w:t>
            </w:r>
          </w:p>
        </w:tc>
        <w:tc>
          <w:tcPr>
            <w:tcW w:w="1730" w:type="dxa"/>
          </w:tcPr>
          <w:p w14:paraId="4AF8706E" w14:textId="0960AD2A" w:rsidR="00DB7F7F" w:rsidRPr="006C1629" w:rsidRDefault="00DB7F7F" w:rsidP="00DB7F7F">
            <w:pPr>
              <w:jc w:val="center"/>
              <w:rPr>
                <w:sz w:val="24"/>
                <w:szCs w:val="24"/>
              </w:rPr>
            </w:pPr>
            <w:r w:rsidRPr="006C1629">
              <w:rPr>
                <w:sz w:val="24"/>
                <w:szCs w:val="24"/>
              </w:rPr>
              <w:t>Activo</w:t>
            </w:r>
          </w:p>
        </w:tc>
        <w:tc>
          <w:tcPr>
            <w:tcW w:w="1710" w:type="dxa"/>
          </w:tcPr>
          <w:p w14:paraId="37FE1563" w14:textId="126418F9" w:rsidR="00DB7F7F" w:rsidRDefault="00DB7F7F" w:rsidP="00DB7F7F">
            <w:pPr>
              <w:jc w:val="center"/>
              <w:rPr>
                <w:sz w:val="24"/>
                <w:szCs w:val="24"/>
              </w:rPr>
            </w:pPr>
            <w:r>
              <w:rPr>
                <w:sz w:val="24"/>
                <w:szCs w:val="24"/>
              </w:rPr>
              <w:t>17</w:t>
            </w:r>
          </w:p>
        </w:tc>
        <w:tc>
          <w:tcPr>
            <w:tcW w:w="1697" w:type="dxa"/>
            <w:vMerge w:val="restart"/>
          </w:tcPr>
          <w:p w14:paraId="2987403F" w14:textId="270B5246" w:rsidR="00DB7F7F" w:rsidRDefault="00DB7F7F" w:rsidP="00DB7F7F">
            <w:pPr>
              <w:jc w:val="center"/>
              <w:rPr>
                <w:sz w:val="24"/>
                <w:szCs w:val="24"/>
              </w:rPr>
            </w:pPr>
            <w:r>
              <w:rPr>
                <w:sz w:val="24"/>
                <w:szCs w:val="24"/>
              </w:rPr>
              <w:t>22</w:t>
            </w:r>
          </w:p>
        </w:tc>
      </w:tr>
      <w:tr w:rsidR="00DB7F7F" w:rsidRPr="006C1629" w14:paraId="1D01D16E" w14:textId="77777777" w:rsidTr="00DB7F7F">
        <w:trPr>
          <w:trHeight w:val="277"/>
        </w:trPr>
        <w:tc>
          <w:tcPr>
            <w:tcW w:w="1943" w:type="dxa"/>
            <w:vMerge/>
          </w:tcPr>
          <w:p w14:paraId="2A55E770" w14:textId="77777777" w:rsidR="00DB7F7F" w:rsidRPr="006C1629" w:rsidRDefault="00DB7F7F" w:rsidP="00DB7F7F">
            <w:pPr>
              <w:rPr>
                <w:sz w:val="24"/>
                <w:szCs w:val="24"/>
              </w:rPr>
            </w:pPr>
          </w:p>
        </w:tc>
        <w:tc>
          <w:tcPr>
            <w:tcW w:w="1750" w:type="dxa"/>
            <w:vMerge/>
          </w:tcPr>
          <w:p w14:paraId="3C9C8BCE" w14:textId="77777777" w:rsidR="00DB7F7F" w:rsidRDefault="00DB7F7F" w:rsidP="00DB7F7F">
            <w:pPr>
              <w:rPr>
                <w:sz w:val="24"/>
                <w:szCs w:val="24"/>
              </w:rPr>
            </w:pPr>
          </w:p>
        </w:tc>
        <w:tc>
          <w:tcPr>
            <w:tcW w:w="1730" w:type="dxa"/>
          </w:tcPr>
          <w:p w14:paraId="5CAC28B0" w14:textId="5CDFD7BB" w:rsidR="00DB7F7F" w:rsidRPr="006C1629" w:rsidRDefault="00DB7F7F" w:rsidP="00DB7F7F">
            <w:pPr>
              <w:jc w:val="center"/>
              <w:rPr>
                <w:sz w:val="24"/>
                <w:szCs w:val="24"/>
              </w:rPr>
            </w:pPr>
            <w:r w:rsidRPr="006C1629">
              <w:rPr>
                <w:sz w:val="24"/>
                <w:szCs w:val="24"/>
              </w:rPr>
              <w:t>Inactivo</w:t>
            </w:r>
          </w:p>
        </w:tc>
        <w:tc>
          <w:tcPr>
            <w:tcW w:w="1710" w:type="dxa"/>
          </w:tcPr>
          <w:p w14:paraId="53A1D362" w14:textId="251EBB7C" w:rsidR="00DB7F7F" w:rsidRDefault="00DB7F7F" w:rsidP="00DB7F7F">
            <w:pPr>
              <w:jc w:val="center"/>
              <w:rPr>
                <w:sz w:val="24"/>
                <w:szCs w:val="24"/>
              </w:rPr>
            </w:pPr>
            <w:r>
              <w:rPr>
                <w:sz w:val="24"/>
                <w:szCs w:val="24"/>
              </w:rPr>
              <w:t>5</w:t>
            </w:r>
          </w:p>
        </w:tc>
        <w:tc>
          <w:tcPr>
            <w:tcW w:w="1697" w:type="dxa"/>
            <w:vMerge/>
          </w:tcPr>
          <w:p w14:paraId="02374294" w14:textId="77777777" w:rsidR="00DB7F7F" w:rsidRDefault="00DB7F7F" w:rsidP="00DB7F7F">
            <w:pPr>
              <w:jc w:val="center"/>
              <w:rPr>
                <w:sz w:val="24"/>
                <w:szCs w:val="24"/>
              </w:rPr>
            </w:pPr>
          </w:p>
        </w:tc>
      </w:tr>
      <w:tr w:rsidR="00636984" w:rsidRPr="006C1629" w14:paraId="1FAE556B" w14:textId="77777777" w:rsidTr="00DB7F7F">
        <w:tc>
          <w:tcPr>
            <w:tcW w:w="7133" w:type="dxa"/>
            <w:gridSpan w:val="4"/>
          </w:tcPr>
          <w:p w14:paraId="3026E076" w14:textId="77777777" w:rsidR="00636984" w:rsidRPr="006C1629" w:rsidRDefault="00636984" w:rsidP="00DB7F7F">
            <w:pPr>
              <w:jc w:val="right"/>
              <w:rPr>
                <w:sz w:val="24"/>
                <w:szCs w:val="24"/>
              </w:rPr>
            </w:pPr>
            <w:r>
              <w:rPr>
                <w:sz w:val="24"/>
                <w:szCs w:val="24"/>
              </w:rPr>
              <w:t>Total</w:t>
            </w:r>
          </w:p>
        </w:tc>
        <w:tc>
          <w:tcPr>
            <w:tcW w:w="1697" w:type="dxa"/>
          </w:tcPr>
          <w:p w14:paraId="5E7DEB07" w14:textId="18CCBE0E" w:rsidR="00636984" w:rsidRPr="006C1629" w:rsidRDefault="00DB7F7F" w:rsidP="00DB7F7F">
            <w:pPr>
              <w:jc w:val="center"/>
              <w:rPr>
                <w:sz w:val="24"/>
                <w:szCs w:val="24"/>
              </w:rPr>
            </w:pPr>
            <w:r>
              <w:rPr>
                <w:sz w:val="24"/>
                <w:szCs w:val="24"/>
              </w:rPr>
              <w:t>119</w:t>
            </w:r>
          </w:p>
        </w:tc>
      </w:tr>
      <w:tr w:rsidR="00DB7F7F" w:rsidRPr="006C1629" w14:paraId="66C66012" w14:textId="77777777" w:rsidTr="00DB7F7F">
        <w:trPr>
          <w:trHeight w:val="135"/>
        </w:trPr>
        <w:tc>
          <w:tcPr>
            <w:tcW w:w="1943" w:type="dxa"/>
            <w:vMerge w:val="restart"/>
          </w:tcPr>
          <w:p w14:paraId="7E0FB698" w14:textId="77777777" w:rsidR="00DB7F7F" w:rsidRPr="006C1629" w:rsidRDefault="00DB7F7F" w:rsidP="00DB7F7F">
            <w:pPr>
              <w:rPr>
                <w:sz w:val="24"/>
                <w:szCs w:val="24"/>
              </w:rPr>
            </w:pPr>
            <w:r>
              <w:rPr>
                <w:sz w:val="24"/>
                <w:szCs w:val="24"/>
              </w:rPr>
              <w:t>Ley 906 de 2004</w:t>
            </w:r>
          </w:p>
        </w:tc>
        <w:tc>
          <w:tcPr>
            <w:tcW w:w="1750" w:type="dxa"/>
            <w:vMerge w:val="restart"/>
          </w:tcPr>
          <w:p w14:paraId="3BDCE56C" w14:textId="77777777" w:rsidR="00DB7F7F" w:rsidRPr="006C1629" w:rsidRDefault="00DB7F7F" w:rsidP="00DB7F7F">
            <w:pPr>
              <w:rPr>
                <w:sz w:val="24"/>
                <w:szCs w:val="24"/>
              </w:rPr>
            </w:pPr>
            <w:r>
              <w:rPr>
                <w:sz w:val="24"/>
                <w:szCs w:val="24"/>
              </w:rPr>
              <w:t xml:space="preserve">Indagación </w:t>
            </w:r>
          </w:p>
        </w:tc>
        <w:tc>
          <w:tcPr>
            <w:tcW w:w="1730" w:type="dxa"/>
          </w:tcPr>
          <w:p w14:paraId="245A31FC" w14:textId="77777777" w:rsidR="00DB7F7F" w:rsidRPr="006C1629" w:rsidRDefault="00DB7F7F" w:rsidP="00DB7F7F">
            <w:pPr>
              <w:jc w:val="center"/>
              <w:rPr>
                <w:sz w:val="24"/>
                <w:szCs w:val="24"/>
              </w:rPr>
            </w:pPr>
            <w:r w:rsidRPr="006C1629">
              <w:rPr>
                <w:sz w:val="24"/>
                <w:szCs w:val="24"/>
              </w:rPr>
              <w:t>Activo</w:t>
            </w:r>
          </w:p>
        </w:tc>
        <w:tc>
          <w:tcPr>
            <w:tcW w:w="1710" w:type="dxa"/>
          </w:tcPr>
          <w:p w14:paraId="333C4A8B" w14:textId="54A3D785" w:rsidR="00DB7F7F" w:rsidRPr="006C1629" w:rsidRDefault="00DB7F7F" w:rsidP="00DB7F7F">
            <w:pPr>
              <w:jc w:val="center"/>
              <w:rPr>
                <w:sz w:val="24"/>
                <w:szCs w:val="24"/>
              </w:rPr>
            </w:pPr>
            <w:r>
              <w:rPr>
                <w:sz w:val="24"/>
                <w:szCs w:val="24"/>
              </w:rPr>
              <w:t>120</w:t>
            </w:r>
          </w:p>
        </w:tc>
        <w:tc>
          <w:tcPr>
            <w:tcW w:w="1697" w:type="dxa"/>
            <w:vMerge w:val="restart"/>
          </w:tcPr>
          <w:p w14:paraId="2B04809A" w14:textId="481E0BD3" w:rsidR="00DB7F7F" w:rsidRPr="006C1629" w:rsidRDefault="00DB7F7F" w:rsidP="00DB7F7F">
            <w:pPr>
              <w:jc w:val="center"/>
              <w:rPr>
                <w:sz w:val="24"/>
                <w:szCs w:val="24"/>
              </w:rPr>
            </w:pPr>
            <w:r>
              <w:rPr>
                <w:sz w:val="24"/>
                <w:szCs w:val="24"/>
              </w:rPr>
              <w:t>132</w:t>
            </w:r>
          </w:p>
        </w:tc>
      </w:tr>
      <w:tr w:rsidR="00DB7F7F" w:rsidRPr="006C1629" w14:paraId="27FEB49C" w14:textId="77777777" w:rsidTr="00DB7F7F">
        <w:trPr>
          <w:trHeight w:val="135"/>
        </w:trPr>
        <w:tc>
          <w:tcPr>
            <w:tcW w:w="1943" w:type="dxa"/>
            <w:vMerge/>
          </w:tcPr>
          <w:p w14:paraId="6360815B" w14:textId="77777777" w:rsidR="00DB7F7F" w:rsidRDefault="00DB7F7F" w:rsidP="00DB7F7F">
            <w:pPr>
              <w:rPr>
                <w:sz w:val="24"/>
                <w:szCs w:val="24"/>
              </w:rPr>
            </w:pPr>
          </w:p>
        </w:tc>
        <w:tc>
          <w:tcPr>
            <w:tcW w:w="1750" w:type="dxa"/>
            <w:vMerge/>
          </w:tcPr>
          <w:p w14:paraId="084F72B4" w14:textId="77777777" w:rsidR="00DB7F7F" w:rsidRDefault="00DB7F7F" w:rsidP="00DB7F7F">
            <w:pPr>
              <w:rPr>
                <w:sz w:val="24"/>
                <w:szCs w:val="24"/>
              </w:rPr>
            </w:pPr>
          </w:p>
        </w:tc>
        <w:tc>
          <w:tcPr>
            <w:tcW w:w="1730" w:type="dxa"/>
          </w:tcPr>
          <w:p w14:paraId="6AF0136B" w14:textId="77777777" w:rsidR="00DB7F7F" w:rsidRPr="006C1629" w:rsidRDefault="00DB7F7F" w:rsidP="00DB7F7F">
            <w:pPr>
              <w:jc w:val="center"/>
              <w:rPr>
                <w:sz w:val="24"/>
                <w:szCs w:val="24"/>
              </w:rPr>
            </w:pPr>
            <w:r w:rsidRPr="006C1629">
              <w:rPr>
                <w:sz w:val="24"/>
                <w:szCs w:val="24"/>
              </w:rPr>
              <w:t>Inactivo</w:t>
            </w:r>
          </w:p>
        </w:tc>
        <w:tc>
          <w:tcPr>
            <w:tcW w:w="1710" w:type="dxa"/>
          </w:tcPr>
          <w:p w14:paraId="1725DA46" w14:textId="28D63283" w:rsidR="00DB7F7F" w:rsidRPr="006C1629" w:rsidRDefault="00DB7F7F" w:rsidP="00DB7F7F">
            <w:pPr>
              <w:jc w:val="center"/>
              <w:rPr>
                <w:sz w:val="24"/>
                <w:szCs w:val="24"/>
              </w:rPr>
            </w:pPr>
            <w:r>
              <w:rPr>
                <w:sz w:val="24"/>
                <w:szCs w:val="24"/>
              </w:rPr>
              <w:t>12</w:t>
            </w:r>
          </w:p>
        </w:tc>
        <w:tc>
          <w:tcPr>
            <w:tcW w:w="1697" w:type="dxa"/>
            <w:vMerge/>
          </w:tcPr>
          <w:p w14:paraId="22336036" w14:textId="77777777" w:rsidR="00DB7F7F" w:rsidRPr="006C1629" w:rsidRDefault="00DB7F7F" w:rsidP="00DB7F7F">
            <w:pPr>
              <w:jc w:val="center"/>
              <w:rPr>
                <w:sz w:val="24"/>
                <w:szCs w:val="24"/>
              </w:rPr>
            </w:pPr>
          </w:p>
        </w:tc>
      </w:tr>
      <w:tr w:rsidR="00DB7F7F" w:rsidRPr="006C1629" w14:paraId="11789135" w14:textId="77777777" w:rsidTr="00DB7F7F">
        <w:trPr>
          <w:trHeight w:val="562"/>
        </w:trPr>
        <w:tc>
          <w:tcPr>
            <w:tcW w:w="1943" w:type="dxa"/>
            <w:vMerge/>
          </w:tcPr>
          <w:p w14:paraId="716398F7" w14:textId="77777777" w:rsidR="00DB7F7F" w:rsidRPr="006C1629" w:rsidRDefault="00DB7F7F" w:rsidP="00DB7F7F">
            <w:pPr>
              <w:rPr>
                <w:sz w:val="24"/>
                <w:szCs w:val="24"/>
              </w:rPr>
            </w:pPr>
          </w:p>
        </w:tc>
        <w:tc>
          <w:tcPr>
            <w:tcW w:w="1750" w:type="dxa"/>
          </w:tcPr>
          <w:p w14:paraId="14F022D6" w14:textId="77777777" w:rsidR="00DB7F7F" w:rsidRPr="006C1629" w:rsidRDefault="00DB7F7F" w:rsidP="00DB7F7F">
            <w:pPr>
              <w:rPr>
                <w:sz w:val="24"/>
                <w:szCs w:val="24"/>
              </w:rPr>
            </w:pPr>
            <w:r>
              <w:rPr>
                <w:sz w:val="24"/>
                <w:szCs w:val="24"/>
              </w:rPr>
              <w:t>Investigación</w:t>
            </w:r>
          </w:p>
        </w:tc>
        <w:tc>
          <w:tcPr>
            <w:tcW w:w="1730" w:type="dxa"/>
          </w:tcPr>
          <w:p w14:paraId="5B751CD2" w14:textId="77777777" w:rsidR="00DB7F7F" w:rsidRPr="006C1629" w:rsidRDefault="00DB7F7F" w:rsidP="00DB7F7F">
            <w:pPr>
              <w:jc w:val="center"/>
              <w:rPr>
                <w:sz w:val="24"/>
                <w:szCs w:val="24"/>
              </w:rPr>
            </w:pPr>
            <w:r w:rsidRPr="006C1629">
              <w:rPr>
                <w:sz w:val="24"/>
                <w:szCs w:val="24"/>
              </w:rPr>
              <w:t>Activo</w:t>
            </w:r>
          </w:p>
        </w:tc>
        <w:tc>
          <w:tcPr>
            <w:tcW w:w="1710" w:type="dxa"/>
          </w:tcPr>
          <w:p w14:paraId="36DF7D28" w14:textId="167C7212" w:rsidR="00DB7F7F" w:rsidRPr="006C1629" w:rsidRDefault="00DB7F7F" w:rsidP="00DB7F7F">
            <w:pPr>
              <w:jc w:val="center"/>
              <w:rPr>
                <w:sz w:val="24"/>
                <w:szCs w:val="24"/>
              </w:rPr>
            </w:pPr>
            <w:r>
              <w:rPr>
                <w:sz w:val="24"/>
                <w:szCs w:val="24"/>
              </w:rPr>
              <w:t>8</w:t>
            </w:r>
          </w:p>
        </w:tc>
        <w:tc>
          <w:tcPr>
            <w:tcW w:w="1697" w:type="dxa"/>
          </w:tcPr>
          <w:p w14:paraId="36D12B58" w14:textId="29031FE4" w:rsidR="00DB7F7F" w:rsidRPr="006C1629" w:rsidRDefault="00DB7F7F" w:rsidP="00DB7F7F">
            <w:pPr>
              <w:jc w:val="center"/>
              <w:rPr>
                <w:sz w:val="24"/>
                <w:szCs w:val="24"/>
              </w:rPr>
            </w:pPr>
            <w:r>
              <w:rPr>
                <w:sz w:val="24"/>
                <w:szCs w:val="24"/>
              </w:rPr>
              <w:t>8</w:t>
            </w:r>
          </w:p>
        </w:tc>
      </w:tr>
      <w:tr w:rsidR="00DB7F7F" w:rsidRPr="006C1629" w14:paraId="7C7E5AB0" w14:textId="77777777" w:rsidTr="00DB7F7F">
        <w:trPr>
          <w:trHeight w:val="285"/>
        </w:trPr>
        <w:tc>
          <w:tcPr>
            <w:tcW w:w="1943" w:type="dxa"/>
            <w:vMerge/>
          </w:tcPr>
          <w:p w14:paraId="3A7070D0" w14:textId="77777777" w:rsidR="00DB7F7F" w:rsidRPr="006C1629" w:rsidRDefault="00DB7F7F" w:rsidP="00DB7F7F">
            <w:pPr>
              <w:rPr>
                <w:sz w:val="24"/>
                <w:szCs w:val="24"/>
              </w:rPr>
            </w:pPr>
          </w:p>
        </w:tc>
        <w:tc>
          <w:tcPr>
            <w:tcW w:w="1750" w:type="dxa"/>
            <w:vMerge w:val="restart"/>
          </w:tcPr>
          <w:p w14:paraId="06A4ABAA" w14:textId="77777777" w:rsidR="00DB7F7F" w:rsidRPr="006C1629" w:rsidRDefault="00DB7F7F" w:rsidP="00DB7F7F">
            <w:pPr>
              <w:rPr>
                <w:sz w:val="24"/>
                <w:szCs w:val="24"/>
              </w:rPr>
            </w:pPr>
            <w:r>
              <w:rPr>
                <w:sz w:val="24"/>
                <w:szCs w:val="24"/>
              </w:rPr>
              <w:t>Ejecución de penas</w:t>
            </w:r>
          </w:p>
        </w:tc>
        <w:tc>
          <w:tcPr>
            <w:tcW w:w="1730" w:type="dxa"/>
          </w:tcPr>
          <w:p w14:paraId="765A52E6" w14:textId="77777777" w:rsidR="00DB7F7F" w:rsidRPr="006C1629" w:rsidRDefault="00DB7F7F" w:rsidP="00DB7F7F">
            <w:pPr>
              <w:jc w:val="center"/>
              <w:rPr>
                <w:sz w:val="24"/>
                <w:szCs w:val="24"/>
              </w:rPr>
            </w:pPr>
            <w:r w:rsidRPr="006C1629">
              <w:rPr>
                <w:sz w:val="24"/>
                <w:szCs w:val="24"/>
              </w:rPr>
              <w:t>Activo</w:t>
            </w:r>
          </w:p>
        </w:tc>
        <w:tc>
          <w:tcPr>
            <w:tcW w:w="1710" w:type="dxa"/>
          </w:tcPr>
          <w:p w14:paraId="022B3FF6" w14:textId="77777777" w:rsidR="00DB7F7F" w:rsidRPr="006C1629" w:rsidRDefault="00DB7F7F" w:rsidP="00DB7F7F">
            <w:pPr>
              <w:jc w:val="center"/>
              <w:rPr>
                <w:sz w:val="24"/>
                <w:szCs w:val="24"/>
              </w:rPr>
            </w:pPr>
            <w:r>
              <w:rPr>
                <w:sz w:val="24"/>
                <w:szCs w:val="24"/>
              </w:rPr>
              <w:t>2</w:t>
            </w:r>
          </w:p>
        </w:tc>
        <w:tc>
          <w:tcPr>
            <w:tcW w:w="1697" w:type="dxa"/>
            <w:vMerge w:val="restart"/>
          </w:tcPr>
          <w:p w14:paraId="50418454" w14:textId="21B55670" w:rsidR="00DB7F7F" w:rsidRPr="006C1629" w:rsidRDefault="00DB7F7F" w:rsidP="00DB7F7F">
            <w:pPr>
              <w:jc w:val="center"/>
              <w:rPr>
                <w:sz w:val="24"/>
                <w:szCs w:val="24"/>
              </w:rPr>
            </w:pPr>
            <w:r>
              <w:rPr>
                <w:sz w:val="24"/>
                <w:szCs w:val="24"/>
              </w:rPr>
              <w:t>8</w:t>
            </w:r>
          </w:p>
        </w:tc>
      </w:tr>
      <w:tr w:rsidR="00DB7F7F" w:rsidRPr="006C1629" w14:paraId="7343A282" w14:textId="77777777" w:rsidTr="00DB7F7F">
        <w:trPr>
          <w:trHeight w:val="285"/>
        </w:trPr>
        <w:tc>
          <w:tcPr>
            <w:tcW w:w="1943" w:type="dxa"/>
            <w:vMerge/>
          </w:tcPr>
          <w:p w14:paraId="33F68850" w14:textId="77777777" w:rsidR="00DB7F7F" w:rsidRPr="006C1629" w:rsidRDefault="00DB7F7F" w:rsidP="00DB7F7F">
            <w:pPr>
              <w:rPr>
                <w:sz w:val="24"/>
                <w:szCs w:val="24"/>
              </w:rPr>
            </w:pPr>
          </w:p>
        </w:tc>
        <w:tc>
          <w:tcPr>
            <w:tcW w:w="1750" w:type="dxa"/>
            <w:vMerge/>
          </w:tcPr>
          <w:p w14:paraId="13D840C7" w14:textId="77777777" w:rsidR="00DB7F7F" w:rsidRDefault="00DB7F7F" w:rsidP="00DB7F7F">
            <w:pPr>
              <w:rPr>
                <w:sz w:val="24"/>
                <w:szCs w:val="24"/>
              </w:rPr>
            </w:pPr>
          </w:p>
        </w:tc>
        <w:tc>
          <w:tcPr>
            <w:tcW w:w="1730" w:type="dxa"/>
          </w:tcPr>
          <w:p w14:paraId="6A39D25B" w14:textId="58F97FE1" w:rsidR="00DB7F7F" w:rsidRPr="006C1629" w:rsidRDefault="00DB7F7F" w:rsidP="00DB7F7F">
            <w:pPr>
              <w:jc w:val="center"/>
              <w:rPr>
                <w:sz w:val="24"/>
                <w:szCs w:val="24"/>
              </w:rPr>
            </w:pPr>
            <w:r>
              <w:rPr>
                <w:sz w:val="24"/>
                <w:szCs w:val="24"/>
              </w:rPr>
              <w:t>Inactivo</w:t>
            </w:r>
          </w:p>
        </w:tc>
        <w:tc>
          <w:tcPr>
            <w:tcW w:w="1710" w:type="dxa"/>
          </w:tcPr>
          <w:p w14:paraId="4747D283" w14:textId="674C7799" w:rsidR="00DB7F7F" w:rsidRDefault="00DB7F7F" w:rsidP="00DB7F7F">
            <w:pPr>
              <w:jc w:val="center"/>
              <w:rPr>
                <w:sz w:val="24"/>
                <w:szCs w:val="24"/>
              </w:rPr>
            </w:pPr>
            <w:r>
              <w:rPr>
                <w:sz w:val="24"/>
                <w:szCs w:val="24"/>
              </w:rPr>
              <w:t>6</w:t>
            </w:r>
          </w:p>
        </w:tc>
        <w:tc>
          <w:tcPr>
            <w:tcW w:w="1697" w:type="dxa"/>
            <w:vMerge/>
          </w:tcPr>
          <w:p w14:paraId="2963C32F" w14:textId="77777777" w:rsidR="00DB7F7F" w:rsidRDefault="00DB7F7F" w:rsidP="00DB7F7F">
            <w:pPr>
              <w:jc w:val="center"/>
              <w:rPr>
                <w:sz w:val="24"/>
                <w:szCs w:val="24"/>
              </w:rPr>
            </w:pPr>
          </w:p>
        </w:tc>
      </w:tr>
      <w:tr w:rsidR="00DB7F7F" w:rsidRPr="006C1629" w14:paraId="7DEC086F" w14:textId="77777777" w:rsidTr="00DB7F7F">
        <w:trPr>
          <w:trHeight w:val="285"/>
        </w:trPr>
        <w:tc>
          <w:tcPr>
            <w:tcW w:w="1943" w:type="dxa"/>
            <w:vMerge/>
          </w:tcPr>
          <w:p w14:paraId="67217D9A" w14:textId="77777777" w:rsidR="00DB7F7F" w:rsidRPr="006C1629" w:rsidRDefault="00DB7F7F" w:rsidP="00DB7F7F">
            <w:pPr>
              <w:rPr>
                <w:sz w:val="24"/>
                <w:szCs w:val="24"/>
              </w:rPr>
            </w:pPr>
          </w:p>
        </w:tc>
        <w:tc>
          <w:tcPr>
            <w:tcW w:w="1750" w:type="dxa"/>
          </w:tcPr>
          <w:p w14:paraId="0ADC603B" w14:textId="44C1D4D6" w:rsidR="00DB7F7F" w:rsidRDefault="00DB7F7F" w:rsidP="00DB7F7F">
            <w:pPr>
              <w:rPr>
                <w:sz w:val="24"/>
                <w:szCs w:val="24"/>
              </w:rPr>
            </w:pPr>
            <w:r>
              <w:rPr>
                <w:sz w:val="24"/>
                <w:szCs w:val="24"/>
              </w:rPr>
              <w:t>Juicio</w:t>
            </w:r>
          </w:p>
        </w:tc>
        <w:tc>
          <w:tcPr>
            <w:tcW w:w="1730" w:type="dxa"/>
          </w:tcPr>
          <w:p w14:paraId="43645E65" w14:textId="5B0F00E3" w:rsidR="00DB7F7F" w:rsidRPr="006C1629" w:rsidRDefault="00DB7F7F" w:rsidP="00DB7F7F">
            <w:pPr>
              <w:jc w:val="center"/>
              <w:rPr>
                <w:sz w:val="24"/>
                <w:szCs w:val="24"/>
              </w:rPr>
            </w:pPr>
            <w:r>
              <w:rPr>
                <w:sz w:val="24"/>
                <w:szCs w:val="24"/>
              </w:rPr>
              <w:t>Activo</w:t>
            </w:r>
          </w:p>
        </w:tc>
        <w:tc>
          <w:tcPr>
            <w:tcW w:w="1710" w:type="dxa"/>
          </w:tcPr>
          <w:p w14:paraId="7C8633E9" w14:textId="69A1FAED" w:rsidR="00DB7F7F" w:rsidRDefault="00DB7F7F" w:rsidP="00DB7F7F">
            <w:pPr>
              <w:jc w:val="center"/>
              <w:rPr>
                <w:sz w:val="24"/>
                <w:szCs w:val="24"/>
              </w:rPr>
            </w:pPr>
            <w:r>
              <w:rPr>
                <w:sz w:val="24"/>
                <w:szCs w:val="24"/>
              </w:rPr>
              <w:t>1</w:t>
            </w:r>
          </w:p>
        </w:tc>
        <w:tc>
          <w:tcPr>
            <w:tcW w:w="1697" w:type="dxa"/>
          </w:tcPr>
          <w:p w14:paraId="43826F13" w14:textId="0624369C" w:rsidR="00DB7F7F" w:rsidRDefault="00DB7F7F" w:rsidP="00DB7F7F">
            <w:pPr>
              <w:jc w:val="center"/>
              <w:rPr>
                <w:sz w:val="24"/>
                <w:szCs w:val="24"/>
              </w:rPr>
            </w:pPr>
            <w:r>
              <w:rPr>
                <w:sz w:val="24"/>
                <w:szCs w:val="24"/>
              </w:rPr>
              <w:t>1</w:t>
            </w:r>
          </w:p>
        </w:tc>
      </w:tr>
      <w:tr w:rsidR="00DB7F7F" w:rsidRPr="006C1629" w14:paraId="56B6016A" w14:textId="77777777" w:rsidTr="00DB7F7F">
        <w:tc>
          <w:tcPr>
            <w:tcW w:w="1943" w:type="dxa"/>
            <w:vMerge/>
          </w:tcPr>
          <w:p w14:paraId="166A106B" w14:textId="77777777" w:rsidR="00DB7F7F" w:rsidRPr="006C1629" w:rsidRDefault="00DB7F7F" w:rsidP="00DB7F7F">
            <w:pPr>
              <w:rPr>
                <w:sz w:val="24"/>
                <w:szCs w:val="24"/>
              </w:rPr>
            </w:pPr>
          </w:p>
        </w:tc>
        <w:tc>
          <w:tcPr>
            <w:tcW w:w="1750" w:type="dxa"/>
          </w:tcPr>
          <w:p w14:paraId="7E04A3B9" w14:textId="77777777" w:rsidR="00DB7F7F" w:rsidRPr="006C1629" w:rsidRDefault="00DB7F7F" w:rsidP="00DB7F7F">
            <w:pPr>
              <w:rPr>
                <w:sz w:val="24"/>
                <w:szCs w:val="24"/>
              </w:rPr>
            </w:pPr>
            <w:r>
              <w:rPr>
                <w:sz w:val="24"/>
                <w:szCs w:val="24"/>
              </w:rPr>
              <w:t>Con NUNC</w:t>
            </w:r>
          </w:p>
        </w:tc>
        <w:tc>
          <w:tcPr>
            <w:tcW w:w="1730" w:type="dxa"/>
          </w:tcPr>
          <w:p w14:paraId="1309DBA8" w14:textId="77777777" w:rsidR="00DB7F7F" w:rsidRPr="006C1629" w:rsidRDefault="00DB7F7F" w:rsidP="00DB7F7F">
            <w:pPr>
              <w:rPr>
                <w:sz w:val="24"/>
                <w:szCs w:val="24"/>
              </w:rPr>
            </w:pPr>
            <w:r>
              <w:rPr>
                <w:sz w:val="24"/>
                <w:szCs w:val="24"/>
              </w:rPr>
              <w:t>Con NUNC</w:t>
            </w:r>
          </w:p>
        </w:tc>
        <w:tc>
          <w:tcPr>
            <w:tcW w:w="1710" w:type="dxa"/>
          </w:tcPr>
          <w:p w14:paraId="7C3C81C9" w14:textId="7713E179" w:rsidR="00DB7F7F" w:rsidRPr="006C1629" w:rsidRDefault="00DB7F7F" w:rsidP="00DB7F7F">
            <w:pPr>
              <w:jc w:val="center"/>
              <w:rPr>
                <w:sz w:val="24"/>
                <w:szCs w:val="24"/>
              </w:rPr>
            </w:pPr>
            <w:r>
              <w:rPr>
                <w:sz w:val="24"/>
                <w:szCs w:val="24"/>
              </w:rPr>
              <w:t>4</w:t>
            </w:r>
          </w:p>
        </w:tc>
        <w:tc>
          <w:tcPr>
            <w:tcW w:w="1697" w:type="dxa"/>
          </w:tcPr>
          <w:p w14:paraId="384C0058" w14:textId="2A2D3095" w:rsidR="00DB7F7F" w:rsidRPr="006C1629" w:rsidRDefault="00DB7F7F" w:rsidP="00DB7F7F">
            <w:pPr>
              <w:jc w:val="center"/>
              <w:rPr>
                <w:sz w:val="24"/>
                <w:szCs w:val="24"/>
              </w:rPr>
            </w:pPr>
            <w:r>
              <w:rPr>
                <w:sz w:val="24"/>
                <w:szCs w:val="24"/>
              </w:rPr>
              <w:t>4</w:t>
            </w:r>
          </w:p>
        </w:tc>
      </w:tr>
      <w:tr w:rsidR="00636984" w:rsidRPr="006C1629" w14:paraId="179F0DF0" w14:textId="77777777" w:rsidTr="00DB7F7F">
        <w:tc>
          <w:tcPr>
            <w:tcW w:w="7133" w:type="dxa"/>
            <w:gridSpan w:val="4"/>
          </w:tcPr>
          <w:p w14:paraId="1F612A5C" w14:textId="77777777" w:rsidR="00636984" w:rsidRPr="006C1629" w:rsidRDefault="00636984" w:rsidP="00DB7F7F">
            <w:pPr>
              <w:jc w:val="right"/>
              <w:rPr>
                <w:sz w:val="24"/>
                <w:szCs w:val="24"/>
              </w:rPr>
            </w:pPr>
            <w:r>
              <w:rPr>
                <w:sz w:val="24"/>
                <w:szCs w:val="24"/>
              </w:rPr>
              <w:t>Total</w:t>
            </w:r>
          </w:p>
        </w:tc>
        <w:tc>
          <w:tcPr>
            <w:tcW w:w="1697" w:type="dxa"/>
          </w:tcPr>
          <w:p w14:paraId="6DA2BFA5" w14:textId="1E358482" w:rsidR="00636984" w:rsidRPr="006C1629" w:rsidRDefault="00DB7F7F" w:rsidP="00DB7F7F">
            <w:pPr>
              <w:jc w:val="center"/>
              <w:rPr>
                <w:sz w:val="24"/>
                <w:szCs w:val="24"/>
              </w:rPr>
            </w:pPr>
            <w:r>
              <w:rPr>
                <w:sz w:val="24"/>
                <w:szCs w:val="24"/>
              </w:rPr>
              <w:t>153</w:t>
            </w:r>
          </w:p>
        </w:tc>
      </w:tr>
      <w:tr w:rsidR="00DB7F7F" w:rsidRPr="006C1629" w14:paraId="48CF9181" w14:textId="77777777" w:rsidTr="00DB7F7F">
        <w:trPr>
          <w:trHeight w:val="619"/>
        </w:trPr>
        <w:tc>
          <w:tcPr>
            <w:tcW w:w="1943" w:type="dxa"/>
            <w:vMerge w:val="restart"/>
          </w:tcPr>
          <w:p w14:paraId="4BE6605E" w14:textId="77777777" w:rsidR="00DB7F7F" w:rsidRPr="006C1629" w:rsidRDefault="00DB7F7F" w:rsidP="00DB7F7F">
            <w:pPr>
              <w:rPr>
                <w:sz w:val="24"/>
                <w:szCs w:val="24"/>
              </w:rPr>
            </w:pPr>
            <w:r w:rsidRPr="00EE6FD7">
              <w:rPr>
                <w:sz w:val="24"/>
                <w:szCs w:val="24"/>
              </w:rPr>
              <w:t>Ley 975 de 2004</w:t>
            </w:r>
          </w:p>
        </w:tc>
        <w:tc>
          <w:tcPr>
            <w:tcW w:w="1750" w:type="dxa"/>
          </w:tcPr>
          <w:p w14:paraId="600BC81E" w14:textId="77777777" w:rsidR="00DB7F7F" w:rsidRPr="006C1629" w:rsidRDefault="00DB7F7F" w:rsidP="00DB7F7F">
            <w:pPr>
              <w:rPr>
                <w:sz w:val="24"/>
                <w:szCs w:val="24"/>
              </w:rPr>
            </w:pPr>
            <w:r>
              <w:rPr>
                <w:sz w:val="24"/>
                <w:szCs w:val="24"/>
              </w:rPr>
              <w:t xml:space="preserve">Documentación </w:t>
            </w:r>
          </w:p>
        </w:tc>
        <w:tc>
          <w:tcPr>
            <w:tcW w:w="1730" w:type="dxa"/>
          </w:tcPr>
          <w:p w14:paraId="3F091C29" w14:textId="77777777" w:rsidR="00DB7F7F" w:rsidRPr="006C1629" w:rsidRDefault="00DB7F7F" w:rsidP="00DB7F7F">
            <w:pPr>
              <w:jc w:val="center"/>
              <w:rPr>
                <w:sz w:val="24"/>
                <w:szCs w:val="24"/>
              </w:rPr>
            </w:pPr>
            <w:r>
              <w:rPr>
                <w:sz w:val="24"/>
                <w:szCs w:val="24"/>
              </w:rPr>
              <w:t>Activo</w:t>
            </w:r>
          </w:p>
        </w:tc>
        <w:tc>
          <w:tcPr>
            <w:tcW w:w="1710" w:type="dxa"/>
          </w:tcPr>
          <w:p w14:paraId="5B8A34FF" w14:textId="21AC25C7" w:rsidR="00DB7F7F" w:rsidRPr="006C1629" w:rsidRDefault="00DB7F7F" w:rsidP="00DB7F7F">
            <w:pPr>
              <w:jc w:val="center"/>
              <w:rPr>
                <w:sz w:val="24"/>
                <w:szCs w:val="24"/>
              </w:rPr>
            </w:pPr>
            <w:r>
              <w:rPr>
                <w:sz w:val="24"/>
                <w:szCs w:val="24"/>
              </w:rPr>
              <w:t>69</w:t>
            </w:r>
          </w:p>
        </w:tc>
        <w:tc>
          <w:tcPr>
            <w:tcW w:w="1697" w:type="dxa"/>
          </w:tcPr>
          <w:p w14:paraId="60200E40" w14:textId="6F69ABFB" w:rsidR="00DB7F7F" w:rsidRPr="006C1629" w:rsidRDefault="00DB7F7F" w:rsidP="00DB7F7F">
            <w:pPr>
              <w:jc w:val="center"/>
              <w:rPr>
                <w:sz w:val="24"/>
                <w:szCs w:val="24"/>
              </w:rPr>
            </w:pPr>
            <w:r>
              <w:rPr>
                <w:sz w:val="24"/>
                <w:szCs w:val="24"/>
              </w:rPr>
              <w:t>69</w:t>
            </w:r>
          </w:p>
        </w:tc>
      </w:tr>
      <w:tr w:rsidR="00DB7F7F" w:rsidRPr="006C1629" w14:paraId="4A00FAFA" w14:textId="77777777" w:rsidTr="00DB7F7F">
        <w:trPr>
          <w:trHeight w:val="562"/>
        </w:trPr>
        <w:tc>
          <w:tcPr>
            <w:tcW w:w="1943" w:type="dxa"/>
            <w:vMerge/>
          </w:tcPr>
          <w:p w14:paraId="5A361783" w14:textId="77777777" w:rsidR="00DB7F7F" w:rsidRPr="006C1629" w:rsidRDefault="00DB7F7F" w:rsidP="00DB7F7F">
            <w:pPr>
              <w:rPr>
                <w:sz w:val="24"/>
                <w:szCs w:val="24"/>
              </w:rPr>
            </w:pPr>
          </w:p>
        </w:tc>
        <w:tc>
          <w:tcPr>
            <w:tcW w:w="1750" w:type="dxa"/>
          </w:tcPr>
          <w:p w14:paraId="6830EB08" w14:textId="77777777" w:rsidR="00DB7F7F" w:rsidRPr="006C1629" w:rsidRDefault="00DB7F7F" w:rsidP="00DB7F7F">
            <w:pPr>
              <w:rPr>
                <w:sz w:val="24"/>
                <w:szCs w:val="24"/>
              </w:rPr>
            </w:pPr>
            <w:r>
              <w:rPr>
                <w:sz w:val="24"/>
                <w:szCs w:val="24"/>
              </w:rPr>
              <w:t>Versión libre</w:t>
            </w:r>
          </w:p>
        </w:tc>
        <w:tc>
          <w:tcPr>
            <w:tcW w:w="1730" w:type="dxa"/>
          </w:tcPr>
          <w:p w14:paraId="37B58812" w14:textId="77777777" w:rsidR="00DB7F7F" w:rsidRPr="006C1629" w:rsidRDefault="00DB7F7F" w:rsidP="00DB7F7F">
            <w:pPr>
              <w:jc w:val="center"/>
              <w:rPr>
                <w:sz w:val="24"/>
                <w:szCs w:val="24"/>
              </w:rPr>
            </w:pPr>
            <w:r>
              <w:rPr>
                <w:sz w:val="24"/>
                <w:szCs w:val="24"/>
              </w:rPr>
              <w:t>Activo</w:t>
            </w:r>
          </w:p>
        </w:tc>
        <w:tc>
          <w:tcPr>
            <w:tcW w:w="1710" w:type="dxa"/>
          </w:tcPr>
          <w:p w14:paraId="4A31DF2C" w14:textId="0932F1B8" w:rsidR="00DB7F7F" w:rsidRPr="006C1629" w:rsidRDefault="00DB7F7F" w:rsidP="00DB7F7F">
            <w:pPr>
              <w:jc w:val="center"/>
              <w:rPr>
                <w:sz w:val="24"/>
                <w:szCs w:val="24"/>
              </w:rPr>
            </w:pPr>
            <w:r>
              <w:rPr>
                <w:sz w:val="24"/>
                <w:szCs w:val="24"/>
              </w:rPr>
              <w:t>3</w:t>
            </w:r>
          </w:p>
        </w:tc>
        <w:tc>
          <w:tcPr>
            <w:tcW w:w="1697" w:type="dxa"/>
          </w:tcPr>
          <w:p w14:paraId="764B8382" w14:textId="19F620D7" w:rsidR="00DB7F7F" w:rsidRPr="006C1629" w:rsidRDefault="00DB7F7F" w:rsidP="00DB7F7F">
            <w:pPr>
              <w:jc w:val="center"/>
              <w:rPr>
                <w:sz w:val="24"/>
                <w:szCs w:val="24"/>
              </w:rPr>
            </w:pPr>
            <w:r>
              <w:rPr>
                <w:sz w:val="24"/>
                <w:szCs w:val="24"/>
              </w:rPr>
              <w:t>3</w:t>
            </w:r>
          </w:p>
        </w:tc>
      </w:tr>
      <w:tr w:rsidR="00DB7F7F" w:rsidRPr="006C1629" w14:paraId="5124A6A0" w14:textId="77777777" w:rsidTr="00DB7F7F">
        <w:tc>
          <w:tcPr>
            <w:tcW w:w="1943" w:type="dxa"/>
            <w:vMerge/>
          </w:tcPr>
          <w:p w14:paraId="45B5B5CF" w14:textId="77777777" w:rsidR="00DB7F7F" w:rsidRPr="006C1629" w:rsidRDefault="00DB7F7F" w:rsidP="00DB7F7F">
            <w:pPr>
              <w:rPr>
                <w:sz w:val="24"/>
                <w:szCs w:val="24"/>
              </w:rPr>
            </w:pPr>
          </w:p>
        </w:tc>
        <w:tc>
          <w:tcPr>
            <w:tcW w:w="1750" w:type="dxa"/>
          </w:tcPr>
          <w:p w14:paraId="670C8EBA" w14:textId="77777777" w:rsidR="00DB7F7F" w:rsidRPr="006C1629" w:rsidRDefault="00DB7F7F" w:rsidP="00DB7F7F">
            <w:pPr>
              <w:rPr>
                <w:sz w:val="24"/>
                <w:szCs w:val="24"/>
              </w:rPr>
            </w:pPr>
            <w:r>
              <w:rPr>
                <w:sz w:val="24"/>
                <w:szCs w:val="24"/>
              </w:rPr>
              <w:t>Audiencia concentrada</w:t>
            </w:r>
          </w:p>
        </w:tc>
        <w:tc>
          <w:tcPr>
            <w:tcW w:w="1730" w:type="dxa"/>
          </w:tcPr>
          <w:p w14:paraId="67CC6F2D" w14:textId="77777777" w:rsidR="00DB7F7F" w:rsidRPr="006C1629" w:rsidRDefault="00DB7F7F" w:rsidP="00DB7F7F">
            <w:pPr>
              <w:jc w:val="center"/>
              <w:rPr>
                <w:sz w:val="24"/>
                <w:szCs w:val="24"/>
              </w:rPr>
            </w:pPr>
            <w:r>
              <w:rPr>
                <w:sz w:val="24"/>
                <w:szCs w:val="24"/>
              </w:rPr>
              <w:t>Activo</w:t>
            </w:r>
          </w:p>
        </w:tc>
        <w:tc>
          <w:tcPr>
            <w:tcW w:w="1710" w:type="dxa"/>
          </w:tcPr>
          <w:p w14:paraId="28D209FC" w14:textId="0920B76D" w:rsidR="00DB7F7F" w:rsidRPr="006C1629" w:rsidRDefault="00DB7F7F" w:rsidP="00DB7F7F">
            <w:pPr>
              <w:jc w:val="center"/>
              <w:rPr>
                <w:sz w:val="24"/>
                <w:szCs w:val="24"/>
              </w:rPr>
            </w:pPr>
            <w:r>
              <w:rPr>
                <w:sz w:val="24"/>
                <w:szCs w:val="24"/>
              </w:rPr>
              <w:t>1</w:t>
            </w:r>
          </w:p>
        </w:tc>
        <w:tc>
          <w:tcPr>
            <w:tcW w:w="1697" w:type="dxa"/>
          </w:tcPr>
          <w:p w14:paraId="1CD5CCF5" w14:textId="1D554EBE" w:rsidR="00DB7F7F" w:rsidRPr="006C1629" w:rsidRDefault="00DB7F7F" w:rsidP="00DB7F7F">
            <w:pPr>
              <w:jc w:val="center"/>
              <w:rPr>
                <w:sz w:val="24"/>
                <w:szCs w:val="24"/>
              </w:rPr>
            </w:pPr>
            <w:r>
              <w:rPr>
                <w:sz w:val="24"/>
                <w:szCs w:val="24"/>
              </w:rPr>
              <w:t>1</w:t>
            </w:r>
          </w:p>
        </w:tc>
      </w:tr>
      <w:tr w:rsidR="00DB7F7F" w:rsidRPr="006C1629" w14:paraId="0133F283" w14:textId="77777777" w:rsidTr="00DB7F7F">
        <w:trPr>
          <w:trHeight w:val="278"/>
        </w:trPr>
        <w:tc>
          <w:tcPr>
            <w:tcW w:w="1943" w:type="dxa"/>
            <w:vMerge/>
          </w:tcPr>
          <w:p w14:paraId="061916E1" w14:textId="77777777" w:rsidR="00DB7F7F" w:rsidRPr="006C1629" w:rsidRDefault="00DB7F7F" w:rsidP="00DB7F7F">
            <w:pPr>
              <w:rPr>
                <w:sz w:val="24"/>
                <w:szCs w:val="24"/>
              </w:rPr>
            </w:pPr>
          </w:p>
        </w:tc>
        <w:tc>
          <w:tcPr>
            <w:tcW w:w="1750" w:type="dxa"/>
          </w:tcPr>
          <w:p w14:paraId="11015E13" w14:textId="77777777" w:rsidR="00DB7F7F" w:rsidRDefault="00DB7F7F" w:rsidP="00DB7F7F">
            <w:pPr>
              <w:rPr>
                <w:sz w:val="24"/>
                <w:szCs w:val="24"/>
              </w:rPr>
            </w:pPr>
            <w:r>
              <w:rPr>
                <w:sz w:val="24"/>
                <w:szCs w:val="24"/>
              </w:rPr>
              <w:t xml:space="preserve">Imputación </w:t>
            </w:r>
          </w:p>
          <w:p w14:paraId="0B8F658C" w14:textId="4EF1100B" w:rsidR="00DB7F7F" w:rsidRPr="006C1629" w:rsidRDefault="00DB7F7F" w:rsidP="00DB7F7F">
            <w:pPr>
              <w:rPr>
                <w:sz w:val="24"/>
                <w:szCs w:val="24"/>
              </w:rPr>
            </w:pPr>
          </w:p>
        </w:tc>
        <w:tc>
          <w:tcPr>
            <w:tcW w:w="1730" w:type="dxa"/>
          </w:tcPr>
          <w:p w14:paraId="17375AFE" w14:textId="77777777" w:rsidR="00DB7F7F" w:rsidRDefault="00DB7F7F" w:rsidP="00DB7F7F">
            <w:pPr>
              <w:jc w:val="center"/>
              <w:rPr>
                <w:sz w:val="24"/>
                <w:szCs w:val="24"/>
              </w:rPr>
            </w:pPr>
            <w:r>
              <w:rPr>
                <w:sz w:val="24"/>
                <w:szCs w:val="24"/>
              </w:rPr>
              <w:t>Activo</w:t>
            </w:r>
          </w:p>
          <w:p w14:paraId="41AA7F6A" w14:textId="77777777" w:rsidR="00DB7F7F" w:rsidRPr="006C1629" w:rsidRDefault="00DB7F7F" w:rsidP="00DB7F7F">
            <w:pPr>
              <w:jc w:val="center"/>
              <w:rPr>
                <w:sz w:val="24"/>
                <w:szCs w:val="24"/>
              </w:rPr>
            </w:pPr>
          </w:p>
        </w:tc>
        <w:tc>
          <w:tcPr>
            <w:tcW w:w="1710" w:type="dxa"/>
          </w:tcPr>
          <w:p w14:paraId="44E6E7BD" w14:textId="79988161" w:rsidR="00DB7F7F" w:rsidRPr="006C1629" w:rsidRDefault="00DB7F7F" w:rsidP="00DB7F7F">
            <w:pPr>
              <w:jc w:val="center"/>
              <w:rPr>
                <w:sz w:val="24"/>
                <w:szCs w:val="24"/>
              </w:rPr>
            </w:pPr>
            <w:r>
              <w:rPr>
                <w:sz w:val="24"/>
                <w:szCs w:val="24"/>
              </w:rPr>
              <w:t>51</w:t>
            </w:r>
          </w:p>
        </w:tc>
        <w:tc>
          <w:tcPr>
            <w:tcW w:w="1697" w:type="dxa"/>
          </w:tcPr>
          <w:p w14:paraId="69551C84" w14:textId="55D41863" w:rsidR="00DB7F7F" w:rsidRPr="006C1629" w:rsidRDefault="00DB7F7F" w:rsidP="00DB7F7F">
            <w:pPr>
              <w:jc w:val="center"/>
              <w:rPr>
                <w:sz w:val="24"/>
                <w:szCs w:val="24"/>
              </w:rPr>
            </w:pPr>
            <w:r>
              <w:rPr>
                <w:sz w:val="24"/>
                <w:szCs w:val="24"/>
              </w:rPr>
              <w:t>51</w:t>
            </w:r>
          </w:p>
        </w:tc>
      </w:tr>
      <w:tr w:rsidR="00DB7F7F" w:rsidRPr="006C1629" w14:paraId="1321C2E3" w14:textId="77777777" w:rsidTr="00DB7F7F">
        <w:trPr>
          <w:trHeight w:val="277"/>
        </w:trPr>
        <w:tc>
          <w:tcPr>
            <w:tcW w:w="1943" w:type="dxa"/>
            <w:vMerge/>
          </w:tcPr>
          <w:p w14:paraId="298BF195" w14:textId="24ED47AB" w:rsidR="00DB7F7F" w:rsidRPr="006C1629" w:rsidRDefault="00DB7F7F" w:rsidP="00DB7F7F">
            <w:pPr>
              <w:rPr>
                <w:sz w:val="24"/>
                <w:szCs w:val="24"/>
              </w:rPr>
            </w:pPr>
          </w:p>
        </w:tc>
        <w:tc>
          <w:tcPr>
            <w:tcW w:w="1750" w:type="dxa"/>
          </w:tcPr>
          <w:p w14:paraId="7C82BDD7" w14:textId="77777777" w:rsidR="00DB7F7F" w:rsidRDefault="00DB7F7F" w:rsidP="00DB7F7F">
            <w:pPr>
              <w:rPr>
                <w:sz w:val="24"/>
                <w:szCs w:val="24"/>
              </w:rPr>
            </w:pPr>
            <w:r>
              <w:rPr>
                <w:sz w:val="24"/>
                <w:szCs w:val="24"/>
              </w:rPr>
              <w:t>Sentencia</w:t>
            </w:r>
          </w:p>
          <w:p w14:paraId="78BFA742" w14:textId="1294FF3B" w:rsidR="00DB7F7F" w:rsidRDefault="00DB7F7F" w:rsidP="00DB7F7F">
            <w:pPr>
              <w:rPr>
                <w:sz w:val="24"/>
                <w:szCs w:val="24"/>
              </w:rPr>
            </w:pPr>
          </w:p>
        </w:tc>
        <w:tc>
          <w:tcPr>
            <w:tcW w:w="1730" w:type="dxa"/>
          </w:tcPr>
          <w:p w14:paraId="6B808FC7" w14:textId="44B8616F" w:rsidR="00DB7F7F" w:rsidRDefault="00DB7F7F" w:rsidP="00DB7F7F">
            <w:pPr>
              <w:jc w:val="center"/>
              <w:rPr>
                <w:sz w:val="24"/>
                <w:szCs w:val="24"/>
              </w:rPr>
            </w:pPr>
            <w:r>
              <w:rPr>
                <w:sz w:val="24"/>
                <w:szCs w:val="24"/>
              </w:rPr>
              <w:t>Inactivo</w:t>
            </w:r>
          </w:p>
        </w:tc>
        <w:tc>
          <w:tcPr>
            <w:tcW w:w="1710" w:type="dxa"/>
          </w:tcPr>
          <w:p w14:paraId="3E18A86C" w14:textId="707EC67F" w:rsidR="00DB7F7F" w:rsidRDefault="00DB7F7F" w:rsidP="00DB7F7F">
            <w:pPr>
              <w:jc w:val="center"/>
              <w:rPr>
                <w:sz w:val="24"/>
                <w:szCs w:val="24"/>
              </w:rPr>
            </w:pPr>
            <w:r>
              <w:rPr>
                <w:sz w:val="24"/>
                <w:szCs w:val="24"/>
              </w:rPr>
              <w:t>1</w:t>
            </w:r>
          </w:p>
        </w:tc>
        <w:tc>
          <w:tcPr>
            <w:tcW w:w="1697" w:type="dxa"/>
          </w:tcPr>
          <w:p w14:paraId="53021D10" w14:textId="4A91FAE9" w:rsidR="00DB7F7F" w:rsidRDefault="00DB7F7F" w:rsidP="00DB7F7F">
            <w:pPr>
              <w:jc w:val="center"/>
              <w:rPr>
                <w:sz w:val="24"/>
                <w:szCs w:val="24"/>
              </w:rPr>
            </w:pPr>
            <w:r>
              <w:rPr>
                <w:sz w:val="24"/>
                <w:szCs w:val="24"/>
              </w:rPr>
              <w:t>1</w:t>
            </w:r>
          </w:p>
        </w:tc>
      </w:tr>
      <w:tr w:rsidR="00DB7F7F" w:rsidRPr="006C1629" w14:paraId="55AAA5E5" w14:textId="77777777" w:rsidTr="00DB7F7F">
        <w:tc>
          <w:tcPr>
            <w:tcW w:w="1943" w:type="dxa"/>
            <w:vMerge/>
          </w:tcPr>
          <w:p w14:paraId="7A5367D5" w14:textId="77777777" w:rsidR="00DB7F7F" w:rsidRPr="006C1629" w:rsidRDefault="00DB7F7F" w:rsidP="00DB7F7F">
            <w:pPr>
              <w:rPr>
                <w:sz w:val="24"/>
                <w:szCs w:val="24"/>
              </w:rPr>
            </w:pPr>
          </w:p>
        </w:tc>
        <w:tc>
          <w:tcPr>
            <w:tcW w:w="1750" w:type="dxa"/>
          </w:tcPr>
          <w:p w14:paraId="6CC34EB6" w14:textId="77777777" w:rsidR="00DB7F7F" w:rsidRPr="006C1629" w:rsidRDefault="00DB7F7F" w:rsidP="00DB7F7F">
            <w:pPr>
              <w:rPr>
                <w:sz w:val="24"/>
                <w:szCs w:val="24"/>
              </w:rPr>
            </w:pPr>
            <w:r>
              <w:rPr>
                <w:sz w:val="24"/>
                <w:szCs w:val="24"/>
              </w:rPr>
              <w:t>Fuera del marco de la Ley 975</w:t>
            </w:r>
          </w:p>
        </w:tc>
        <w:tc>
          <w:tcPr>
            <w:tcW w:w="1730" w:type="dxa"/>
          </w:tcPr>
          <w:p w14:paraId="1BAF9188" w14:textId="77777777" w:rsidR="00DB7F7F" w:rsidRPr="006C1629" w:rsidRDefault="00DB7F7F" w:rsidP="00DB7F7F">
            <w:pPr>
              <w:jc w:val="center"/>
              <w:rPr>
                <w:sz w:val="24"/>
                <w:szCs w:val="24"/>
              </w:rPr>
            </w:pPr>
            <w:r>
              <w:rPr>
                <w:sz w:val="24"/>
                <w:szCs w:val="24"/>
              </w:rPr>
              <w:t>Inactivo</w:t>
            </w:r>
          </w:p>
        </w:tc>
        <w:tc>
          <w:tcPr>
            <w:tcW w:w="1710" w:type="dxa"/>
          </w:tcPr>
          <w:p w14:paraId="396EDA29" w14:textId="69FD6D83" w:rsidR="00DB7F7F" w:rsidRPr="006C1629" w:rsidRDefault="00DB7F7F" w:rsidP="00DB7F7F">
            <w:pPr>
              <w:jc w:val="center"/>
              <w:rPr>
                <w:sz w:val="24"/>
                <w:szCs w:val="24"/>
              </w:rPr>
            </w:pPr>
            <w:r>
              <w:rPr>
                <w:sz w:val="24"/>
                <w:szCs w:val="24"/>
              </w:rPr>
              <w:t>5</w:t>
            </w:r>
          </w:p>
        </w:tc>
        <w:tc>
          <w:tcPr>
            <w:tcW w:w="1697" w:type="dxa"/>
          </w:tcPr>
          <w:p w14:paraId="6CB422DF" w14:textId="6E4EBE3B" w:rsidR="00DB7F7F" w:rsidRPr="006C1629" w:rsidRDefault="00DB7F7F" w:rsidP="00DB7F7F">
            <w:pPr>
              <w:jc w:val="center"/>
              <w:rPr>
                <w:sz w:val="24"/>
                <w:szCs w:val="24"/>
              </w:rPr>
            </w:pPr>
            <w:r>
              <w:rPr>
                <w:sz w:val="24"/>
                <w:szCs w:val="24"/>
              </w:rPr>
              <w:t>5</w:t>
            </w:r>
          </w:p>
        </w:tc>
      </w:tr>
      <w:tr w:rsidR="00636984" w:rsidRPr="006C1629" w14:paraId="189682D0" w14:textId="77777777" w:rsidTr="00DB7F7F">
        <w:tc>
          <w:tcPr>
            <w:tcW w:w="5423" w:type="dxa"/>
            <w:gridSpan w:val="3"/>
          </w:tcPr>
          <w:p w14:paraId="0EAB16CA" w14:textId="77777777" w:rsidR="00636984" w:rsidRPr="006C1629" w:rsidRDefault="00636984" w:rsidP="00DB7F7F">
            <w:pPr>
              <w:jc w:val="right"/>
              <w:rPr>
                <w:sz w:val="24"/>
                <w:szCs w:val="24"/>
              </w:rPr>
            </w:pPr>
            <w:r>
              <w:rPr>
                <w:sz w:val="24"/>
                <w:szCs w:val="24"/>
              </w:rPr>
              <w:t>Total</w:t>
            </w:r>
          </w:p>
        </w:tc>
        <w:tc>
          <w:tcPr>
            <w:tcW w:w="3407" w:type="dxa"/>
            <w:gridSpan w:val="2"/>
          </w:tcPr>
          <w:p w14:paraId="5495F9A1" w14:textId="2F5F903D" w:rsidR="00636984" w:rsidRPr="006C1629" w:rsidRDefault="00DB7F7F" w:rsidP="00DB7F7F">
            <w:pPr>
              <w:jc w:val="center"/>
              <w:rPr>
                <w:sz w:val="24"/>
                <w:szCs w:val="24"/>
              </w:rPr>
            </w:pPr>
            <w:r>
              <w:rPr>
                <w:sz w:val="24"/>
                <w:szCs w:val="24"/>
              </w:rPr>
              <w:t>130</w:t>
            </w:r>
          </w:p>
        </w:tc>
      </w:tr>
    </w:tbl>
    <w:p w14:paraId="61251990" w14:textId="77777777" w:rsidR="00636984" w:rsidRDefault="00636984" w:rsidP="00636984"/>
    <w:p w14:paraId="61DCC7DC" w14:textId="0B6D030E" w:rsidR="00636984" w:rsidRDefault="00DB7F7F" w:rsidP="00FD4570">
      <w:r>
        <w:t>Según</w:t>
      </w:r>
      <w:r w:rsidR="00F54EF5">
        <w:t xml:space="preserve"> lo anterior, la Fiscalía indicó</w:t>
      </w:r>
      <w:r>
        <w:t xml:space="preserve"> que “el </w:t>
      </w:r>
      <w:r w:rsidRPr="00636984">
        <w:t>total de investigaciones”</w:t>
      </w:r>
      <w:r w:rsidRPr="00636984">
        <w:rPr>
          <w:vertAlign w:val="superscript"/>
        </w:rPr>
        <w:footnoteReference w:id="17"/>
      </w:r>
      <w:r w:rsidRPr="00636984">
        <w:t xml:space="preserve"> relacionadas con los casos del anexo reservado del </w:t>
      </w:r>
      <w:r w:rsidRPr="00636984">
        <w:rPr>
          <w:b/>
        </w:rPr>
        <w:t xml:space="preserve">Auto </w:t>
      </w:r>
      <w:r w:rsidR="00C46140">
        <w:rPr>
          <w:b/>
        </w:rPr>
        <w:t>009 de 2015</w:t>
      </w:r>
      <w:r w:rsidR="00C46140">
        <w:t>, son 402: 119 por Ley 600, 153 por Ley 906 y 130</w:t>
      </w:r>
      <w:r w:rsidRPr="00636984">
        <w:t xml:space="preserve"> por Ley 975</w:t>
      </w:r>
      <w:r>
        <w:t>. Sin embargo, no queda claro</w:t>
      </w:r>
      <w:r w:rsidR="00253E4E">
        <w:t>:</w:t>
      </w:r>
      <w:r w:rsidR="006215C4">
        <w:t xml:space="preserve"> </w:t>
      </w:r>
      <w:r w:rsidR="00253E4E">
        <w:t xml:space="preserve">(i) </w:t>
      </w:r>
      <w:r w:rsidR="0046025C">
        <w:t>por qué se incluyen dentro del total de investigaciones aquellos casos que se encuentran inactivos</w:t>
      </w:r>
      <w:r w:rsidR="00253E4E">
        <w:t>; y (ii) cuál es el paso a seguir con relació</w:t>
      </w:r>
      <w:r w:rsidR="003851BF">
        <w:t>n a los 26</w:t>
      </w:r>
      <w:r w:rsidR="00253E4E">
        <w:t xml:space="preserve"> casos con NUNC.</w:t>
      </w:r>
    </w:p>
    <w:p w14:paraId="334BBC75" w14:textId="77777777" w:rsidR="006215C4" w:rsidRDefault="006215C4" w:rsidP="00FD4570"/>
    <w:p w14:paraId="6A6040F4" w14:textId="079B3774" w:rsidR="001A3C80" w:rsidRDefault="00C46140" w:rsidP="001E44DD">
      <w:pPr>
        <w:autoSpaceDE w:val="0"/>
        <w:autoSpaceDN w:val="0"/>
        <w:adjustRightInd w:val="0"/>
      </w:pPr>
      <w:r>
        <w:t>En suma, l</w:t>
      </w:r>
      <w:r w:rsidR="00F01721">
        <w:t>a información aportada con relación al estado procesal</w:t>
      </w:r>
      <w:r>
        <w:t xml:space="preserve"> </w:t>
      </w:r>
      <w:r w:rsidR="009F0DFA">
        <w:t xml:space="preserve">es confusa por las siguientes razones: </w:t>
      </w:r>
    </w:p>
    <w:p w14:paraId="2CA2DD2B" w14:textId="77777777" w:rsidR="001A3C80" w:rsidRDefault="001A3C80" w:rsidP="001E44DD">
      <w:pPr>
        <w:autoSpaceDE w:val="0"/>
        <w:autoSpaceDN w:val="0"/>
        <w:adjustRightInd w:val="0"/>
      </w:pPr>
    </w:p>
    <w:p w14:paraId="7F0B81F3" w14:textId="4EF8D7A7" w:rsidR="001A3C80" w:rsidRDefault="009F0DFA" w:rsidP="001E44DD">
      <w:pPr>
        <w:autoSpaceDE w:val="0"/>
        <w:autoSpaceDN w:val="0"/>
        <w:adjustRightInd w:val="0"/>
      </w:pPr>
      <w:r>
        <w:t xml:space="preserve">(i) </w:t>
      </w:r>
      <w:r w:rsidR="001A3C80">
        <w:t>L</w:t>
      </w:r>
      <w:r>
        <w:t>a categoría “inactivo”</w:t>
      </w:r>
      <w:r w:rsidR="004920F7">
        <w:t xml:space="preserve"> incluye varios estados procesales, lo que no permite </w:t>
      </w:r>
      <w:r w:rsidR="00CE05D5">
        <w:t xml:space="preserve">diferenciar cuántos procesos están archivados y cuántos </w:t>
      </w:r>
      <w:r w:rsidR="001E44DD">
        <w:t>finalizaron con sentencia</w:t>
      </w:r>
      <w:r w:rsidR="00F40327">
        <w:rPr>
          <w:rStyle w:val="Refdenotaalpie"/>
        </w:rPr>
        <w:footnoteReference w:id="18"/>
      </w:r>
      <w:r w:rsidR="00C3368F">
        <w:t xml:space="preserve">. </w:t>
      </w:r>
      <w:r w:rsidR="001A3C80">
        <w:t xml:space="preserve">En tal sentido, si bien el estado “inactivo”, es un término del sistema de información de la Fiscalía, </w:t>
      </w:r>
      <w:r w:rsidR="00CB0091">
        <w:t xml:space="preserve">no </w:t>
      </w:r>
      <w:r w:rsidR="001A3C80">
        <w:t xml:space="preserve">constituye </w:t>
      </w:r>
      <w:r w:rsidR="00CB0091">
        <w:t xml:space="preserve">una categoría procesal que </w:t>
      </w:r>
      <w:r w:rsidR="001A3C80">
        <w:t xml:space="preserve">dé cuenta </w:t>
      </w:r>
      <w:r w:rsidR="00CB0091">
        <w:t xml:space="preserve">de la gestión de la entidad con relación a </w:t>
      </w:r>
      <w:r w:rsidR="001A3C80">
        <w:t>los casos de los anexos reservados.</w:t>
      </w:r>
      <w:r w:rsidR="00C0225D" w:rsidRPr="00C0225D">
        <w:t xml:space="preserve"> </w:t>
      </w:r>
      <w:r w:rsidR="00C0225D">
        <w:t xml:space="preserve">Tampoco es claro por qué se indicó que el total de investigaciones son 228 respecto del </w:t>
      </w:r>
      <w:r w:rsidR="00C0225D" w:rsidRPr="00C3368F">
        <w:rPr>
          <w:b/>
        </w:rPr>
        <w:t>Auto 092 de 2008</w:t>
      </w:r>
      <w:r w:rsidR="00C0225D">
        <w:t xml:space="preserve"> y 402 respecto del </w:t>
      </w:r>
      <w:r w:rsidR="00C0225D" w:rsidRPr="00C3368F">
        <w:rPr>
          <w:b/>
        </w:rPr>
        <w:t>Auto 009 de 2015</w:t>
      </w:r>
      <w:r w:rsidR="00C0225D">
        <w:t>.</w:t>
      </w:r>
    </w:p>
    <w:p w14:paraId="30B92454" w14:textId="77777777" w:rsidR="001A3C80" w:rsidRDefault="001A3C80" w:rsidP="001E44DD">
      <w:pPr>
        <w:autoSpaceDE w:val="0"/>
        <w:autoSpaceDN w:val="0"/>
        <w:adjustRightInd w:val="0"/>
      </w:pPr>
    </w:p>
    <w:p w14:paraId="0AACB58E" w14:textId="11852AF3" w:rsidR="009F0DFA" w:rsidRPr="00C3368F" w:rsidRDefault="00CB0091" w:rsidP="001E44DD">
      <w:pPr>
        <w:autoSpaceDE w:val="0"/>
        <w:autoSpaceDN w:val="0"/>
        <w:adjustRightInd w:val="0"/>
      </w:pPr>
      <w:r w:rsidRPr="00E46810">
        <w:t xml:space="preserve">(ii) </w:t>
      </w:r>
      <w:r w:rsidR="00762987" w:rsidRPr="00E46810">
        <w:t>La información aportada no permite conocer cuál es</w:t>
      </w:r>
      <w:r w:rsidR="00C3368F" w:rsidRPr="00E46810">
        <w:t xml:space="preserve"> estado </w:t>
      </w:r>
      <w:r w:rsidR="00C3368F">
        <w:t xml:space="preserve">procesal de los 33 casos del </w:t>
      </w:r>
      <w:r w:rsidR="00C3368F" w:rsidRPr="00C3368F">
        <w:rPr>
          <w:b/>
        </w:rPr>
        <w:t>Auto 092 de 2008</w:t>
      </w:r>
      <w:r w:rsidR="00C3368F">
        <w:t xml:space="preserve"> sin SIJYP y si estos </w:t>
      </w:r>
      <w:r>
        <w:t xml:space="preserve">se encuentran incluidos en los casos reportados en Ley 600 o </w:t>
      </w:r>
      <w:r w:rsidR="00C3368F">
        <w:t xml:space="preserve">en Ley </w:t>
      </w:r>
      <w:r>
        <w:t>906</w:t>
      </w:r>
      <w:r w:rsidR="004B0FFE">
        <w:t xml:space="preserve">. Igual confusión ocurre con los </w:t>
      </w:r>
      <w:r w:rsidR="004B0FFE">
        <w:lastRenderedPageBreak/>
        <w:t xml:space="preserve">casos que aparecen en las tablas bajo la categoría “fuera del marco de la Ley 975”. </w:t>
      </w:r>
    </w:p>
    <w:p w14:paraId="73840E03" w14:textId="77777777" w:rsidR="00F01721" w:rsidRDefault="00F01721" w:rsidP="00FD4570"/>
    <w:p w14:paraId="2FA90208" w14:textId="4AE135B6" w:rsidR="00634634" w:rsidRDefault="00C520F7" w:rsidP="003A7DB8">
      <w:pPr>
        <w:pStyle w:val="Prrafodelista"/>
        <w:numPr>
          <w:ilvl w:val="0"/>
          <w:numId w:val="28"/>
        </w:numPr>
        <w:ind w:left="0" w:firstLine="0"/>
        <w:rPr>
          <w:rFonts w:cs="Times New Roman"/>
        </w:rPr>
      </w:pPr>
      <w:r>
        <w:rPr>
          <w:rFonts w:cs="Times New Roman"/>
        </w:rPr>
        <w:t>En la j</w:t>
      </w:r>
      <w:r w:rsidR="0059209D" w:rsidRPr="00F54EF5">
        <w:rPr>
          <w:rFonts w:cs="Times New Roman"/>
          <w:shd w:val="clear" w:color="auto" w:fill="FFFFFF"/>
        </w:rPr>
        <w:t>ornada de trabajo interinstitucional</w:t>
      </w:r>
      <w:r>
        <w:rPr>
          <w:rFonts w:cs="Times New Roman"/>
          <w:shd w:val="clear" w:color="auto" w:fill="FFFFFF"/>
        </w:rPr>
        <w:t xml:space="preserve"> del 17 de abril de 2018, convocada por la Procuraduría General de la Nación</w:t>
      </w:r>
      <w:r w:rsidR="0059209D" w:rsidRPr="00F54EF5">
        <w:rPr>
          <w:rFonts w:cs="Times New Roman"/>
          <w:shd w:val="clear" w:color="auto" w:fill="FFFFFF"/>
        </w:rPr>
        <w:t xml:space="preserve"> en </w:t>
      </w:r>
      <w:r>
        <w:rPr>
          <w:rFonts w:cs="Times New Roman"/>
          <w:shd w:val="clear" w:color="auto" w:fill="FFFFFF"/>
        </w:rPr>
        <w:t xml:space="preserve">el marco del </w:t>
      </w:r>
      <w:r w:rsidR="00DE3E26">
        <w:rPr>
          <w:rFonts w:cs="Times New Roman"/>
          <w:shd w:val="clear" w:color="auto" w:fill="FFFFFF"/>
        </w:rPr>
        <w:t>seguimiento a</w:t>
      </w:r>
      <w:r>
        <w:rPr>
          <w:rFonts w:cs="Times New Roman"/>
          <w:shd w:val="clear" w:color="auto" w:fill="FFFFFF"/>
        </w:rPr>
        <w:t xml:space="preserve"> los </w:t>
      </w:r>
      <w:r w:rsidRPr="00C520F7">
        <w:rPr>
          <w:rFonts w:cs="Times New Roman"/>
          <w:b/>
          <w:shd w:val="clear" w:color="auto" w:fill="FFFFFF"/>
        </w:rPr>
        <w:t>Autos 092 de 2008 y 009 de 20</w:t>
      </w:r>
      <w:r w:rsidR="0059209D" w:rsidRPr="00C520F7">
        <w:rPr>
          <w:rFonts w:cs="Times New Roman"/>
          <w:b/>
          <w:shd w:val="clear" w:color="auto" w:fill="FFFFFF"/>
        </w:rPr>
        <w:t>15</w:t>
      </w:r>
      <w:r w:rsidR="0059209D" w:rsidRPr="00F54EF5">
        <w:rPr>
          <w:rFonts w:cs="Times New Roman"/>
          <w:shd w:val="clear" w:color="auto" w:fill="FFFFFF"/>
        </w:rPr>
        <w:t>, </w:t>
      </w:r>
      <w:r w:rsidR="00F54EF5">
        <w:rPr>
          <w:rFonts w:cs="Times New Roman"/>
          <w:shd w:val="clear" w:color="auto" w:fill="FFFFFF"/>
        </w:rPr>
        <w:t>l</w:t>
      </w:r>
      <w:r w:rsidR="00BE6D9F" w:rsidRPr="00F54EF5">
        <w:rPr>
          <w:rFonts w:cs="Times New Roman"/>
        </w:rPr>
        <w:t xml:space="preserve">a Fiscalía </w:t>
      </w:r>
      <w:r w:rsidR="00BA26C6">
        <w:rPr>
          <w:rFonts w:cs="Times New Roman"/>
        </w:rPr>
        <w:t>se refirió a</w:t>
      </w:r>
      <w:r w:rsidR="00E03444">
        <w:rPr>
          <w:rFonts w:cs="Times New Roman"/>
        </w:rPr>
        <w:t>l estado procesal de</w:t>
      </w:r>
      <w:r w:rsidR="00BA26C6">
        <w:rPr>
          <w:rFonts w:cs="Times New Roman"/>
        </w:rPr>
        <w:t xml:space="preserve"> </w:t>
      </w:r>
      <w:r w:rsidR="00E03444">
        <w:rPr>
          <w:rFonts w:cs="Times New Roman"/>
        </w:rPr>
        <w:t>176 casos del primero y a 442 del segundo</w:t>
      </w:r>
      <w:r w:rsidR="00484702">
        <w:rPr>
          <w:rFonts w:cs="Times New Roman"/>
        </w:rPr>
        <w:t xml:space="preserve">, mientras que en la respuesta al </w:t>
      </w:r>
      <w:r w:rsidR="00484702" w:rsidRPr="00484702">
        <w:rPr>
          <w:rFonts w:cs="Times New Roman"/>
          <w:b/>
        </w:rPr>
        <w:t>Auto 737 de 2017</w:t>
      </w:r>
      <w:r w:rsidR="00484702">
        <w:rPr>
          <w:rFonts w:cs="Times New Roman"/>
        </w:rPr>
        <w:t>, enviada</w:t>
      </w:r>
      <w:r w:rsidR="00DE3E26">
        <w:rPr>
          <w:rFonts w:cs="Times New Roman"/>
        </w:rPr>
        <w:t xml:space="preserve"> a esta Sala Especial en ma</w:t>
      </w:r>
      <w:r w:rsidR="00484702">
        <w:rPr>
          <w:rFonts w:cs="Times New Roman"/>
        </w:rPr>
        <w:t>yo de 2018, inform</w:t>
      </w:r>
      <w:r w:rsidR="005E1926">
        <w:rPr>
          <w:rFonts w:cs="Times New Roman"/>
        </w:rPr>
        <w:t>ó</w:t>
      </w:r>
      <w:r w:rsidR="00484702">
        <w:rPr>
          <w:rFonts w:cs="Times New Roman"/>
        </w:rPr>
        <w:t xml:space="preserve"> acerca de 228</w:t>
      </w:r>
      <w:r w:rsidR="00DE3E26">
        <w:rPr>
          <w:rFonts w:cs="Times New Roman"/>
        </w:rPr>
        <w:t xml:space="preserve"> casos del </w:t>
      </w:r>
      <w:r w:rsidR="00DE3E26" w:rsidRPr="00DE3E26">
        <w:rPr>
          <w:rFonts w:cs="Times New Roman"/>
          <w:b/>
        </w:rPr>
        <w:t>Auto 092 de 2008</w:t>
      </w:r>
      <w:r w:rsidR="00DE3E26">
        <w:rPr>
          <w:rFonts w:cs="Times New Roman"/>
        </w:rPr>
        <w:t xml:space="preserve"> y de 402 del </w:t>
      </w:r>
      <w:r w:rsidR="00DE3E26" w:rsidRPr="00DE3E26">
        <w:rPr>
          <w:rFonts w:cs="Times New Roman"/>
          <w:b/>
        </w:rPr>
        <w:t>Auto 009 de 2015</w:t>
      </w:r>
      <w:r w:rsidR="00DE3E26">
        <w:rPr>
          <w:rFonts w:cs="Times New Roman"/>
        </w:rPr>
        <w:t>.</w:t>
      </w:r>
    </w:p>
    <w:p w14:paraId="4E8A6B44" w14:textId="77777777" w:rsidR="00DE3E26" w:rsidRDefault="00DE3E26" w:rsidP="00DE3E26">
      <w:pPr>
        <w:pStyle w:val="Prrafodelista"/>
        <w:ind w:left="0"/>
        <w:rPr>
          <w:rFonts w:cs="Times New Roman"/>
        </w:rPr>
      </w:pPr>
    </w:p>
    <w:p w14:paraId="2F41EC2A" w14:textId="1E9257C5" w:rsidR="00DE3E26" w:rsidRDefault="00DE3E26" w:rsidP="00DE3E26">
      <w:pPr>
        <w:pStyle w:val="Prrafodelista"/>
        <w:ind w:left="0"/>
        <w:rPr>
          <w:rFonts w:cs="Times New Roman"/>
        </w:rPr>
      </w:pPr>
      <w:r>
        <w:rPr>
          <w:rFonts w:cs="Times New Roman"/>
        </w:rPr>
        <w:t>La siguiente Tabla compara la información presentada en ambas oportunidades:</w:t>
      </w:r>
    </w:p>
    <w:p w14:paraId="5D0EDF1E" w14:textId="77777777" w:rsidR="00DE3E26" w:rsidRDefault="00DE3E26" w:rsidP="00DE3E26">
      <w:pPr>
        <w:pStyle w:val="Prrafodelista"/>
        <w:ind w:left="0"/>
        <w:rPr>
          <w:rFonts w:cs="Times New Roman"/>
        </w:rPr>
      </w:pPr>
    </w:p>
    <w:p w14:paraId="6F3DDA2F" w14:textId="5C8CC584" w:rsidR="00DE3E26" w:rsidRPr="00DE3E26" w:rsidRDefault="00DE3E26" w:rsidP="00DE3E26">
      <w:pPr>
        <w:pStyle w:val="Prrafodelista"/>
        <w:ind w:left="0"/>
        <w:rPr>
          <w:rFonts w:cs="Times New Roman"/>
          <w:b/>
        </w:rPr>
      </w:pPr>
      <w:r w:rsidRPr="00DE3E26">
        <w:rPr>
          <w:rFonts w:cs="Times New Roman"/>
          <w:b/>
        </w:rPr>
        <w:t>Tabla 3. Comparación de la información de la Fiscalía General de la Nación</w:t>
      </w:r>
    </w:p>
    <w:p w14:paraId="78D282EB" w14:textId="77777777" w:rsidR="00E04B30" w:rsidRDefault="00E04B30" w:rsidP="00E04B30">
      <w:pPr>
        <w:ind w:left="568"/>
      </w:pPr>
    </w:p>
    <w:tbl>
      <w:tblPr>
        <w:tblStyle w:val="Tablaconcuadrcula"/>
        <w:tblW w:w="0" w:type="auto"/>
        <w:tblLook w:val="04A0" w:firstRow="1" w:lastRow="0" w:firstColumn="1" w:lastColumn="0" w:noHBand="0" w:noVBand="1"/>
      </w:tblPr>
      <w:tblGrid>
        <w:gridCol w:w="2207"/>
        <w:gridCol w:w="2207"/>
        <w:gridCol w:w="2208"/>
        <w:gridCol w:w="2208"/>
      </w:tblGrid>
      <w:tr w:rsidR="00DE3E26" w:rsidRPr="006C7E2E" w14:paraId="21AD3557" w14:textId="77777777" w:rsidTr="00DE3E26">
        <w:tc>
          <w:tcPr>
            <w:tcW w:w="8830" w:type="dxa"/>
            <w:gridSpan w:val="4"/>
            <w:shd w:val="clear" w:color="auto" w:fill="BFBFBF" w:themeFill="background1" w:themeFillShade="BF"/>
          </w:tcPr>
          <w:p w14:paraId="02092787" w14:textId="77777777" w:rsidR="00DE3E26" w:rsidRPr="006C7E2E" w:rsidRDefault="00DE3E26" w:rsidP="0070391F">
            <w:pPr>
              <w:jc w:val="center"/>
              <w:rPr>
                <w:b/>
                <w:sz w:val="24"/>
                <w:szCs w:val="24"/>
              </w:rPr>
            </w:pPr>
            <w:r w:rsidRPr="006C7E2E">
              <w:rPr>
                <w:b/>
                <w:sz w:val="24"/>
                <w:szCs w:val="24"/>
              </w:rPr>
              <w:t>Auto 092 de 2008</w:t>
            </w:r>
          </w:p>
          <w:p w14:paraId="271D14A1" w14:textId="584C4BEA" w:rsidR="00DE3E26" w:rsidRPr="006C7E2E" w:rsidRDefault="00DE3E26" w:rsidP="0070391F">
            <w:pPr>
              <w:jc w:val="center"/>
              <w:rPr>
                <w:b/>
                <w:sz w:val="24"/>
                <w:szCs w:val="24"/>
              </w:rPr>
            </w:pPr>
          </w:p>
        </w:tc>
      </w:tr>
      <w:tr w:rsidR="00DE3E26" w:rsidRPr="006C7E2E" w14:paraId="247282A5" w14:textId="77777777" w:rsidTr="0070391F">
        <w:tc>
          <w:tcPr>
            <w:tcW w:w="4414" w:type="dxa"/>
            <w:gridSpan w:val="2"/>
          </w:tcPr>
          <w:p w14:paraId="542F9DE5" w14:textId="77777777" w:rsidR="006C7E2E" w:rsidRPr="006C7E2E" w:rsidRDefault="00DE3E26" w:rsidP="0070391F">
            <w:pPr>
              <w:jc w:val="center"/>
              <w:rPr>
                <w:b/>
                <w:sz w:val="24"/>
                <w:szCs w:val="24"/>
              </w:rPr>
            </w:pPr>
            <w:r w:rsidRPr="006C7E2E">
              <w:rPr>
                <w:b/>
                <w:sz w:val="24"/>
                <w:szCs w:val="24"/>
              </w:rPr>
              <w:t xml:space="preserve">Presentación de la Fiscalía General de la Nación el 17 de abril de 2018 </w:t>
            </w:r>
          </w:p>
          <w:p w14:paraId="6091FB82" w14:textId="41C92E1C" w:rsidR="00DE3E26" w:rsidRPr="006C7E2E" w:rsidRDefault="00DE3E26" w:rsidP="0070391F">
            <w:pPr>
              <w:jc w:val="center"/>
              <w:rPr>
                <w:b/>
                <w:sz w:val="24"/>
                <w:szCs w:val="24"/>
              </w:rPr>
            </w:pPr>
            <w:r w:rsidRPr="006C7E2E">
              <w:rPr>
                <w:b/>
                <w:sz w:val="24"/>
                <w:szCs w:val="24"/>
              </w:rPr>
              <w:t>(176 casos)</w:t>
            </w:r>
          </w:p>
        </w:tc>
        <w:tc>
          <w:tcPr>
            <w:tcW w:w="4416" w:type="dxa"/>
            <w:gridSpan w:val="2"/>
          </w:tcPr>
          <w:p w14:paraId="5DFAD2CB" w14:textId="18D81633" w:rsidR="006C7E2E" w:rsidRPr="006C7E2E" w:rsidRDefault="00DE3E26" w:rsidP="0070391F">
            <w:pPr>
              <w:jc w:val="center"/>
              <w:rPr>
                <w:b/>
                <w:sz w:val="24"/>
                <w:szCs w:val="24"/>
              </w:rPr>
            </w:pPr>
            <w:r w:rsidRPr="006C7E2E">
              <w:rPr>
                <w:b/>
                <w:sz w:val="24"/>
                <w:szCs w:val="24"/>
              </w:rPr>
              <w:t>Informe de la Fisc</w:t>
            </w:r>
            <w:r w:rsidR="00F15616">
              <w:rPr>
                <w:b/>
                <w:sz w:val="24"/>
                <w:szCs w:val="24"/>
              </w:rPr>
              <w:t>alía General de la Nación del 22</w:t>
            </w:r>
            <w:r w:rsidRPr="006C7E2E">
              <w:rPr>
                <w:b/>
                <w:sz w:val="24"/>
                <w:szCs w:val="24"/>
              </w:rPr>
              <w:t xml:space="preserve"> de Mayo de 2018 </w:t>
            </w:r>
          </w:p>
          <w:p w14:paraId="5B6A9F6A" w14:textId="7A75A1CA" w:rsidR="00DE3E26" w:rsidRPr="006C7E2E" w:rsidRDefault="00DE3E26" w:rsidP="0070391F">
            <w:pPr>
              <w:jc w:val="center"/>
              <w:rPr>
                <w:b/>
                <w:sz w:val="24"/>
                <w:szCs w:val="24"/>
              </w:rPr>
            </w:pPr>
            <w:r w:rsidRPr="006C7E2E">
              <w:rPr>
                <w:b/>
                <w:sz w:val="24"/>
                <w:szCs w:val="24"/>
              </w:rPr>
              <w:t>(228 casos)</w:t>
            </w:r>
          </w:p>
        </w:tc>
      </w:tr>
      <w:tr w:rsidR="00DE3E26" w:rsidRPr="006C7E2E" w14:paraId="33600943" w14:textId="77777777" w:rsidTr="0070391F">
        <w:tc>
          <w:tcPr>
            <w:tcW w:w="4414" w:type="dxa"/>
            <w:gridSpan w:val="2"/>
            <w:shd w:val="clear" w:color="auto" w:fill="AEAAAA" w:themeFill="background2" w:themeFillShade="BF"/>
          </w:tcPr>
          <w:p w14:paraId="580AC550" w14:textId="77777777" w:rsidR="00DE3E26" w:rsidRPr="006C7E2E" w:rsidRDefault="00DE3E26" w:rsidP="0070391F">
            <w:pPr>
              <w:jc w:val="center"/>
              <w:rPr>
                <w:b/>
                <w:sz w:val="24"/>
                <w:szCs w:val="24"/>
              </w:rPr>
            </w:pPr>
            <w:r w:rsidRPr="006C7E2E">
              <w:rPr>
                <w:b/>
                <w:sz w:val="24"/>
                <w:szCs w:val="24"/>
              </w:rPr>
              <w:t>Ley 600 (150 casos)</w:t>
            </w:r>
          </w:p>
        </w:tc>
        <w:tc>
          <w:tcPr>
            <w:tcW w:w="4416" w:type="dxa"/>
            <w:gridSpan w:val="2"/>
            <w:shd w:val="clear" w:color="auto" w:fill="AEAAAA" w:themeFill="background2" w:themeFillShade="BF"/>
          </w:tcPr>
          <w:p w14:paraId="304071F1" w14:textId="77777777" w:rsidR="00DE3E26" w:rsidRPr="006C7E2E" w:rsidRDefault="00DE3E26" w:rsidP="0070391F">
            <w:pPr>
              <w:jc w:val="center"/>
              <w:rPr>
                <w:b/>
                <w:sz w:val="24"/>
                <w:szCs w:val="24"/>
              </w:rPr>
            </w:pPr>
            <w:r w:rsidRPr="006C7E2E">
              <w:rPr>
                <w:b/>
                <w:sz w:val="24"/>
                <w:szCs w:val="24"/>
              </w:rPr>
              <w:t>Ley 600 (140 casos)</w:t>
            </w:r>
          </w:p>
        </w:tc>
      </w:tr>
      <w:tr w:rsidR="00DE3E26" w:rsidRPr="006C7E2E" w14:paraId="32687281" w14:textId="77777777" w:rsidTr="0070391F">
        <w:tc>
          <w:tcPr>
            <w:tcW w:w="2207" w:type="dxa"/>
          </w:tcPr>
          <w:p w14:paraId="06501999" w14:textId="77777777" w:rsidR="00DE3E26" w:rsidRPr="006C7E2E" w:rsidRDefault="00DE3E26" w:rsidP="0070391F">
            <w:pPr>
              <w:rPr>
                <w:sz w:val="24"/>
                <w:szCs w:val="24"/>
              </w:rPr>
            </w:pPr>
            <w:r w:rsidRPr="006C7E2E">
              <w:rPr>
                <w:sz w:val="24"/>
                <w:szCs w:val="24"/>
              </w:rPr>
              <w:t xml:space="preserve">Investigación preliminar </w:t>
            </w:r>
          </w:p>
        </w:tc>
        <w:tc>
          <w:tcPr>
            <w:tcW w:w="2207" w:type="dxa"/>
          </w:tcPr>
          <w:p w14:paraId="49F2B648" w14:textId="77777777" w:rsidR="00DE3E26" w:rsidRPr="006C7E2E" w:rsidRDefault="00DE3E26" w:rsidP="00484702">
            <w:pPr>
              <w:jc w:val="center"/>
              <w:rPr>
                <w:sz w:val="24"/>
                <w:szCs w:val="24"/>
              </w:rPr>
            </w:pPr>
            <w:r w:rsidRPr="006C7E2E">
              <w:rPr>
                <w:sz w:val="24"/>
                <w:szCs w:val="24"/>
              </w:rPr>
              <w:t>93</w:t>
            </w:r>
          </w:p>
        </w:tc>
        <w:tc>
          <w:tcPr>
            <w:tcW w:w="2208" w:type="dxa"/>
          </w:tcPr>
          <w:p w14:paraId="7F47CEBB" w14:textId="77777777" w:rsidR="00DE3E26" w:rsidRPr="006C7E2E" w:rsidRDefault="00DE3E26" w:rsidP="0070391F">
            <w:pPr>
              <w:rPr>
                <w:sz w:val="24"/>
                <w:szCs w:val="24"/>
              </w:rPr>
            </w:pPr>
            <w:r w:rsidRPr="006C7E2E">
              <w:rPr>
                <w:sz w:val="24"/>
                <w:szCs w:val="24"/>
              </w:rPr>
              <w:t>Investigación preliminar</w:t>
            </w:r>
          </w:p>
        </w:tc>
        <w:tc>
          <w:tcPr>
            <w:tcW w:w="2208" w:type="dxa"/>
          </w:tcPr>
          <w:p w14:paraId="00D2CF54" w14:textId="77777777" w:rsidR="00DE3E26" w:rsidRPr="006C7E2E" w:rsidRDefault="00DE3E26" w:rsidP="00484702">
            <w:pPr>
              <w:jc w:val="center"/>
              <w:rPr>
                <w:sz w:val="24"/>
                <w:szCs w:val="24"/>
              </w:rPr>
            </w:pPr>
            <w:r w:rsidRPr="006C7E2E">
              <w:rPr>
                <w:sz w:val="24"/>
                <w:szCs w:val="24"/>
              </w:rPr>
              <w:t>94</w:t>
            </w:r>
          </w:p>
        </w:tc>
      </w:tr>
      <w:tr w:rsidR="00DE3E26" w:rsidRPr="006C7E2E" w14:paraId="7E483314" w14:textId="77777777" w:rsidTr="0070391F">
        <w:tc>
          <w:tcPr>
            <w:tcW w:w="2207" w:type="dxa"/>
          </w:tcPr>
          <w:p w14:paraId="6BFD800D" w14:textId="77777777" w:rsidR="00DE3E26" w:rsidRPr="006C7E2E" w:rsidRDefault="00DE3E26" w:rsidP="0070391F">
            <w:pPr>
              <w:rPr>
                <w:sz w:val="24"/>
                <w:szCs w:val="24"/>
              </w:rPr>
            </w:pPr>
            <w:r w:rsidRPr="006C7E2E">
              <w:rPr>
                <w:sz w:val="24"/>
                <w:szCs w:val="24"/>
              </w:rPr>
              <w:t xml:space="preserve">Instrucción </w:t>
            </w:r>
          </w:p>
        </w:tc>
        <w:tc>
          <w:tcPr>
            <w:tcW w:w="2207" w:type="dxa"/>
          </w:tcPr>
          <w:p w14:paraId="7726591C" w14:textId="77777777" w:rsidR="00DE3E26" w:rsidRPr="006C7E2E" w:rsidRDefault="00DE3E26" w:rsidP="00484702">
            <w:pPr>
              <w:jc w:val="center"/>
              <w:rPr>
                <w:sz w:val="24"/>
                <w:szCs w:val="24"/>
              </w:rPr>
            </w:pPr>
            <w:r w:rsidRPr="006C7E2E">
              <w:rPr>
                <w:sz w:val="24"/>
                <w:szCs w:val="24"/>
              </w:rPr>
              <w:t>45</w:t>
            </w:r>
          </w:p>
        </w:tc>
        <w:tc>
          <w:tcPr>
            <w:tcW w:w="2208" w:type="dxa"/>
          </w:tcPr>
          <w:p w14:paraId="15357C70" w14:textId="77777777" w:rsidR="00DE3E26" w:rsidRPr="006C7E2E" w:rsidRDefault="00DE3E26" w:rsidP="0070391F">
            <w:pPr>
              <w:rPr>
                <w:sz w:val="24"/>
                <w:szCs w:val="24"/>
              </w:rPr>
            </w:pPr>
            <w:r w:rsidRPr="006C7E2E">
              <w:rPr>
                <w:sz w:val="24"/>
                <w:szCs w:val="24"/>
              </w:rPr>
              <w:t>Instrucción</w:t>
            </w:r>
          </w:p>
        </w:tc>
        <w:tc>
          <w:tcPr>
            <w:tcW w:w="2208" w:type="dxa"/>
          </w:tcPr>
          <w:p w14:paraId="3FF39281" w14:textId="77777777" w:rsidR="00DE3E26" w:rsidRPr="006C7E2E" w:rsidRDefault="00DE3E26" w:rsidP="00484702">
            <w:pPr>
              <w:jc w:val="center"/>
              <w:rPr>
                <w:sz w:val="24"/>
                <w:szCs w:val="24"/>
              </w:rPr>
            </w:pPr>
            <w:r w:rsidRPr="006C7E2E">
              <w:rPr>
                <w:sz w:val="24"/>
                <w:szCs w:val="24"/>
              </w:rPr>
              <w:t>37</w:t>
            </w:r>
          </w:p>
        </w:tc>
      </w:tr>
      <w:tr w:rsidR="00DE3E26" w:rsidRPr="006C7E2E" w14:paraId="5B8B59F0" w14:textId="77777777" w:rsidTr="0070391F">
        <w:tc>
          <w:tcPr>
            <w:tcW w:w="2207" w:type="dxa"/>
          </w:tcPr>
          <w:p w14:paraId="32DC8CC3" w14:textId="77777777" w:rsidR="00DE3E26" w:rsidRPr="006C7E2E" w:rsidRDefault="00DE3E26" w:rsidP="0070391F">
            <w:pPr>
              <w:rPr>
                <w:sz w:val="24"/>
                <w:szCs w:val="24"/>
              </w:rPr>
            </w:pPr>
            <w:r w:rsidRPr="006C7E2E">
              <w:rPr>
                <w:sz w:val="24"/>
                <w:szCs w:val="24"/>
              </w:rPr>
              <w:t xml:space="preserve">Juicio </w:t>
            </w:r>
          </w:p>
        </w:tc>
        <w:tc>
          <w:tcPr>
            <w:tcW w:w="2207" w:type="dxa"/>
          </w:tcPr>
          <w:p w14:paraId="5210F07A" w14:textId="77777777" w:rsidR="00DE3E26" w:rsidRPr="006C7E2E" w:rsidRDefault="00DE3E26" w:rsidP="00484702">
            <w:pPr>
              <w:jc w:val="center"/>
              <w:rPr>
                <w:sz w:val="24"/>
                <w:szCs w:val="24"/>
              </w:rPr>
            </w:pPr>
            <w:r w:rsidRPr="006C7E2E">
              <w:rPr>
                <w:sz w:val="24"/>
                <w:szCs w:val="24"/>
              </w:rPr>
              <w:t>3</w:t>
            </w:r>
          </w:p>
        </w:tc>
        <w:tc>
          <w:tcPr>
            <w:tcW w:w="2208" w:type="dxa"/>
          </w:tcPr>
          <w:p w14:paraId="6EE657C7" w14:textId="77777777" w:rsidR="00DE3E26" w:rsidRPr="006C7E2E" w:rsidRDefault="00DE3E26" w:rsidP="0070391F">
            <w:pPr>
              <w:rPr>
                <w:sz w:val="24"/>
                <w:szCs w:val="24"/>
              </w:rPr>
            </w:pPr>
            <w:r w:rsidRPr="006C7E2E">
              <w:rPr>
                <w:sz w:val="24"/>
                <w:szCs w:val="24"/>
              </w:rPr>
              <w:t xml:space="preserve">Juicio </w:t>
            </w:r>
          </w:p>
        </w:tc>
        <w:tc>
          <w:tcPr>
            <w:tcW w:w="2208" w:type="dxa"/>
          </w:tcPr>
          <w:p w14:paraId="15C256DF" w14:textId="77777777" w:rsidR="00DE3E26" w:rsidRPr="006C7E2E" w:rsidRDefault="00DE3E26" w:rsidP="00484702">
            <w:pPr>
              <w:jc w:val="center"/>
              <w:rPr>
                <w:sz w:val="24"/>
                <w:szCs w:val="24"/>
              </w:rPr>
            </w:pPr>
            <w:r w:rsidRPr="006C7E2E">
              <w:rPr>
                <w:sz w:val="24"/>
                <w:szCs w:val="24"/>
              </w:rPr>
              <w:t>9</w:t>
            </w:r>
          </w:p>
        </w:tc>
      </w:tr>
      <w:tr w:rsidR="00DE3E26" w:rsidRPr="006C7E2E" w14:paraId="71AD7DE8" w14:textId="77777777" w:rsidTr="0070391F">
        <w:tc>
          <w:tcPr>
            <w:tcW w:w="2207" w:type="dxa"/>
          </w:tcPr>
          <w:p w14:paraId="0C063D7C" w14:textId="77777777" w:rsidR="00DE3E26" w:rsidRPr="006C7E2E" w:rsidRDefault="00DE3E26" w:rsidP="0070391F">
            <w:pPr>
              <w:rPr>
                <w:sz w:val="24"/>
                <w:szCs w:val="24"/>
              </w:rPr>
            </w:pPr>
            <w:r w:rsidRPr="006C7E2E">
              <w:rPr>
                <w:sz w:val="24"/>
                <w:szCs w:val="24"/>
              </w:rPr>
              <w:t xml:space="preserve">Sin información </w:t>
            </w:r>
          </w:p>
        </w:tc>
        <w:tc>
          <w:tcPr>
            <w:tcW w:w="2207" w:type="dxa"/>
          </w:tcPr>
          <w:p w14:paraId="667163BC" w14:textId="77777777" w:rsidR="00DE3E26" w:rsidRPr="006C7E2E" w:rsidRDefault="00DE3E26" w:rsidP="00484702">
            <w:pPr>
              <w:jc w:val="center"/>
              <w:rPr>
                <w:sz w:val="24"/>
                <w:szCs w:val="24"/>
              </w:rPr>
            </w:pPr>
            <w:r w:rsidRPr="006C7E2E">
              <w:rPr>
                <w:sz w:val="24"/>
                <w:szCs w:val="24"/>
              </w:rPr>
              <w:t>9</w:t>
            </w:r>
          </w:p>
        </w:tc>
        <w:tc>
          <w:tcPr>
            <w:tcW w:w="2208" w:type="dxa"/>
          </w:tcPr>
          <w:p w14:paraId="270C0B26" w14:textId="77777777" w:rsidR="00DE3E26" w:rsidRPr="006C7E2E" w:rsidRDefault="00DE3E26" w:rsidP="0070391F">
            <w:pPr>
              <w:rPr>
                <w:sz w:val="24"/>
                <w:szCs w:val="24"/>
              </w:rPr>
            </w:pPr>
            <w:r w:rsidRPr="006C7E2E">
              <w:rPr>
                <w:sz w:val="24"/>
                <w:szCs w:val="24"/>
              </w:rPr>
              <w:t>Sin información</w:t>
            </w:r>
          </w:p>
        </w:tc>
        <w:tc>
          <w:tcPr>
            <w:tcW w:w="2208" w:type="dxa"/>
          </w:tcPr>
          <w:p w14:paraId="14148135" w14:textId="77777777" w:rsidR="00DE3E26" w:rsidRPr="006C7E2E" w:rsidRDefault="00DE3E26" w:rsidP="00484702">
            <w:pPr>
              <w:jc w:val="center"/>
              <w:rPr>
                <w:sz w:val="24"/>
                <w:szCs w:val="24"/>
              </w:rPr>
            </w:pPr>
            <w:r w:rsidRPr="006C7E2E">
              <w:rPr>
                <w:sz w:val="24"/>
                <w:szCs w:val="24"/>
              </w:rPr>
              <w:t>0</w:t>
            </w:r>
          </w:p>
        </w:tc>
      </w:tr>
      <w:tr w:rsidR="00DE3E26" w:rsidRPr="006C7E2E" w14:paraId="24DAC1C9" w14:textId="77777777" w:rsidTr="0070391F">
        <w:tc>
          <w:tcPr>
            <w:tcW w:w="4414" w:type="dxa"/>
            <w:gridSpan w:val="2"/>
            <w:shd w:val="clear" w:color="auto" w:fill="AEAAAA" w:themeFill="background2" w:themeFillShade="BF"/>
          </w:tcPr>
          <w:p w14:paraId="27C41B34" w14:textId="6EF8FD4A" w:rsidR="00DE3E26" w:rsidRPr="006C7E2E" w:rsidRDefault="00DE3E26" w:rsidP="00484702">
            <w:pPr>
              <w:jc w:val="center"/>
              <w:rPr>
                <w:b/>
                <w:sz w:val="24"/>
                <w:szCs w:val="24"/>
              </w:rPr>
            </w:pPr>
            <w:r w:rsidRPr="006C7E2E">
              <w:rPr>
                <w:b/>
                <w:sz w:val="24"/>
                <w:szCs w:val="24"/>
              </w:rPr>
              <w:t>Ley 906</w:t>
            </w:r>
            <w:r w:rsidR="003A1DFA">
              <w:rPr>
                <w:b/>
                <w:sz w:val="24"/>
                <w:szCs w:val="24"/>
              </w:rPr>
              <w:t xml:space="preserve"> </w:t>
            </w:r>
            <w:r w:rsidRPr="006C7E2E">
              <w:rPr>
                <w:b/>
                <w:sz w:val="24"/>
                <w:szCs w:val="24"/>
              </w:rPr>
              <w:t>(21 casos)</w:t>
            </w:r>
          </w:p>
        </w:tc>
        <w:tc>
          <w:tcPr>
            <w:tcW w:w="4416" w:type="dxa"/>
            <w:gridSpan w:val="2"/>
            <w:shd w:val="clear" w:color="auto" w:fill="AEAAAA" w:themeFill="background2" w:themeFillShade="BF"/>
          </w:tcPr>
          <w:p w14:paraId="29545F5A" w14:textId="77777777" w:rsidR="00DE3E26" w:rsidRPr="006C7E2E" w:rsidRDefault="00DE3E26" w:rsidP="00484702">
            <w:pPr>
              <w:jc w:val="center"/>
              <w:rPr>
                <w:b/>
                <w:sz w:val="24"/>
                <w:szCs w:val="24"/>
              </w:rPr>
            </w:pPr>
            <w:r w:rsidRPr="006C7E2E">
              <w:rPr>
                <w:b/>
                <w:sz w:val="24"/>
                <w:szCs w:val="24"/>
              </w:rPr>
              <w:t>Ley 906 (18 casos)</w:t>
            </w:r>
          </w:p>
        </w:tc>
      </w:tr>
      <w:tr w:rsidR="00DE3E26" w:rsidRPr="006C7E2E" w14:paraId="31351B7F" w14:textId="77777777" w:rsidTr="0070391F">
        <w:tc>
          <w:tcPr>
            <w:tcW w:w="2207" w:type="dxa"/>
          </w:tcPr>
          <w:p w14:paraId="7748F76F" w14:textId="77777777" w:rsidR="00DE3E26" w:rsidRPr="006C7E2E" w:rsidRDefault="00DE3E26" w:rsidP="0070391F">
            <w:pPr>
              <w:rPr>
                <w:sz w:val="24"/>
                <w:szCs w:val="24"/>
              </w:rPr>
            </w:pPr>
            <w:r w:rsidRPr="006C7E2E">
              <w:rPr>
                <w:sz w:val="24"/>
                <w:szCs w:val="24"/>
              </w:rPr>
              <w:t xml:space="preserve">Indagación </w:t>
            </w:r>
          </w:p>
        </w:tc>
        <w:tc>
          <w:tcPr>
            <w:tcW w:w="2207" w:type="dxa"/>
          </w:tcPr>
          <w:p w14:paraId="45495F1A" w14:textId="77777777" w:rsidR="00DE3E26" w:rsidRPr="006C7E2E" w:rsidRDefault="00DE3E26" w:rsidP="00484702">
            <w:pPr>
              <w:jc w:val="center"/>
              <w:rPr>
                <w:sz w:val="24"/>
                <w:szCs w:val="24"/>
              </w:rPr>
            </w:pPr>
            <w:r w:rsidRPr="006C7E2E">
              <w:rPr>
                <w:sz w:val="24"/>
                <w:szCs w:val="24"/>
              </w:rPr>
              <w:t>15</w:t>
            </w:r>
          </w:p>
        </w:tc>
        <w:tc>
          <w:tcPr>
            <w:tcW w:w="2208" w:type="dxa"/>
          </w:tcPr>
          <w:p w14:paraId="2AD23300" w14:textId="77777777" w:rsidR="00DE3E26" w:rsidRPr="006C7E2E" w:rsidRDefault="00DE3E26" w:rsidP="0070391F">
            <w:pPr>
              <w:rPr>
                <w:sz w:val="24"/>
                <w:szCs w:val="24"/>
              </w:rPr>
            </w:pPr>
            <w:r w:rsidRPr="006C7E2E">
              <w:rPr>
                <w:sz w:val="24"/>
                <w:szCs w:val="24"/>
              </w:rPr>
              <w:t>Indagación</w:t>
            </w:r>
          </w:p>
        </w:tc>
        <w:tc>
          <w:tcPr>
            <w:tcW w:w="2208" w:type="dxa"/>
          </w:tcPr>
          <w:p w14:paraId="5CFB5693" w14:textId="77777777" w:rsidR="00DE3E26" w:rsidRPr="006C7E2E" w:rsidRDefault="00DE3E26" w:rsidP="00484702">
            <w:pPr>
              <w:jc w:val="center"/>
              <w:rPr>
                <w:sz w:val="24"/>
                <w:szCs w:val="24"/>
              </w:rPr>
            </w:pPr>
            <w:r w:rsidRPr="006C7E2E">
              <w:rPr>
                <w:sz w:val="24"/>
                <w:szCs w:val="24"/>
              </w:rPr>
              <w:t>9</w:t>
            </w:r>
          </w:p>
        </w:tc>
      </w:tr>
      <w:tr w:rsidR="00DE3E26" w:rsidRPr="006C7E2E" w14:paraId="44A65815" w14:textId="77777777" w:rsidTr="0070391F">
        <w:tc>
          <w:tcPr>
            <w:tcW w:w="2207" w:type="dxa"/>
          </w:tcPr>
          <w:p w14:paraId="5D6CA5A9" w14:textId="77777777" w:rsidR="00DE3E26" w:rsidRPr="006C7E2E" w:rsidRDefault="00DE3E26" w:rsidP="0070391F">
            <w:pPr>
              <w:rPr>
                <w:sz w:val="24"/>
                <w:szCs w:val="24"/>
              </w:rPr>
            </w:pPr>
            <w:r w:rsidRPr="006C7E2E">
              <w:rPr>
                <w:sz w:val="24"/>
                <w:szCs w:val="24"/>
              </w:rPr>
              <w:t xml:space="preserve">Investigación previa </w:t>
            </w:r>
          </w:p>
        </w:tc>
        <w:tc>
          <w:tcPr>
            <w:tcW w:w="2207" w:type="dxa"/>
          </w:tcPr>
          <w:p w14:paraId="2C1C2C06" w14:textId="77777777" w:rsidR="00DE3E26" w:rsidRPr="006C7E2E" w:rsidRDefault="00DE3E26" w:rsidP="00484702">
            <w:pPr>
              <w:jc w:val="center"/>
              <w:rPr>
                <w:sz w:val="24"/>
                <w:szCs w:val="24"/>
              </w:rPr>
            </w:pPr>
            <w:r w:rsidRPr="006C7E2E">
              <w:rPr>
                <w:sz w:val="24"/>
                <w:szCs w:val="24"/>
              </w:rPr>
              <w:t>2</w:t>
            </w:r>
          </w:p>
        </w:tc>
        <w:tc>
          <w:tcPr>
            <w:tcW w:w="2208" w:type="dxa"/>
          </w:tcPr>
          <w:p w14:paraId="4FD19DAC" w14:textId="77777777" w:rsidR="00DE3E26" w:rsidRPr="006C7E2E" w:rsidRDefault="00DE3E26" w:rsidP="0070391F">
            <w:pPr>
              <w:rPr>
                <w:sz w:val="24"/>
                <w:szCs w:val="24"/>
              </w:rPr>
            </w:pPr>
            <w:r w:rsidRPr="006C7E2E">
              <w:rPr>
                <w:sz w:val="24"/>
                <w:szCs w:val="24"/>
              </w:rPr>
              <w:t>Investigación previa</w:t>
            </w:r>
          </w:p>
        </w:tc>
        <w:tc>
          <w:tcPr>
            <w:tcW w:w="2208" w:type="dxa"/>
          </w:tcPr>
          <w:p w14:paraId="379AB1DE" w14:textId="77777777" w:rsidR="00DE3E26" w:rsidRPr="006C7E2E" w:rsidRDefault="00DE3E26" w:rsidP="00484702">
            <w:pPr>
              <w:jc w:val="center"/>
              <w:rPr>
                <w:sz w:val="24"/>
                <w:szCs w:val="24"/>
              </w:rPr>
            </w:pPr>
            <w:r w:rsidRPr="006C7E2E">
              <w:rPr>
                <w:sz w:val="24"/>
                <w:szCs w:val="24"/>
              </w:rPr>
              <w:t>5</w:t>
            </w:r>
          </w:p>
        </w:tc>
      </w:tr>
      <w:tr w:rsidR="00DE3E26" w:rsidRPr="006C7E2E" w14:paraId="2EDD92F6" w14:textId="77777777" w:rsidTr="0070391F">
        <w:tc>
          <w:tcPr>
            <w:tcW w:w="2207" w:type="dxa"/>
          </w:tcPr>
          <w:p w14:paraId="3C8DED94" w14:textId="77777777" w:rsidR="00DE3E26" w:rsidRPr="006C7E2E" w:rsidRDefault="00DE3E26" w:rsidP="0070391F">
            <w:pPr>
              <w:rPr>
                <w:sz w:val="24"/>
                <w:szCs w:val="24"/>
              </w:rPr>
            </w:pPr>
            <w:r w:rsidRPr="006C7E2E">
              <w:rPr>
                <w:sz w:val="24"/>
                <w:szCs w:val="24"/>
              </w:rPr>
              <w:t>Ejecución de penas</w:t>
            </w:r>
          </w:p>
        </w:tc>
        <w:tc>
          <w:tcPr>
            <w:tcW w:w="2207" w:type="dxa"/>
          </w:tcPr>
          <w:p w14:paraId="2BE01957" w14:textId="77777777" w:rsidR="00DE3E26" w:rsidRPr="006C7E2E" w:rsidRDefault="00DE3E26" w:rsidP="00484702">
            <w:pPr>
              <w:jc w:val="center"/>
              <w:rPr>
                <w:sz w:val="24"/>
                <w:szCs w:val="24"/>
              </w:rPr>
            </w:pPr>
            <w:r w:rsidRPr="006C7E2E">
              <w:rPr>
                <w:sz w:val="24"/>
                <w:szCs w:val="24"/>
              </w:rPr>
              <w:t>2</w:t>
            </w:r>
          </w:p>
        </w:tc>
        <w:tc>
          <w:tcPr>
            <w:tcW w:w="2208" w:type="dxa"/>
          </w:tcPr>
          <w:p w14:paraId="4F38D886" w14:textId="77777777" w:rsidR="00DE3E26" w:rsidRPr="006C7E2E" w:rsidRDefault="00DE3E26" w:rsidP="0070391F">
            <w:pPr>
              <w:rPr>
                <w:sz w:val="24"/>
                <w:szCs w:val="24"/>
              </w:rPr>
            </w:pPr>
            <w:r w:rsidRPr="006C7E2E">
              <w:rPr>
                <w:sz w:val="24"/>
                <w:szCs w:val="24"/>
              </w:rPr>
              <w:t>Ejecución de penas</w:t>
            </w:r>
          </w:p>
        </w:tc>
        <w:tc>
          <w:tcPr>
            <w:tcW w:w="2208" w:type="dxa"/>
          </w:tcPr>
          <w:p w14:paraId="52D7762E" w14:textId="77777777" w:rsidR="00DE3E26" w:rsidRPr="006C7E2E" w:rsidRDefault="00DE3E26" w:rsidP="00484702">
            <w:pPr>
              <w:jc w:val="center"/>
              <w:rPr>
                <w:sz w:val="24"/>
                <w:szCs w:val="24"/>
              </w:rPr>
            </w:pPr>
            <w:r w:rsidRPr="006C7E2E">
              <w:rPr>
                <w:sz w:val="24"/>
                <w:szCs w:val="24"/>
              </w:rPr>
              <w:t>2</w:t>
            </w:r>
          </w:p>
        </w:tc>
      </w:tr>
      <w:tr w:rsidR="00DE3E26" w:rsidRPr="006C7E2E" w14:paraId="0131FB85" w14:textId="77777777" w:rsidTr="0070391F">
        <w:tc>
          <w:tcPr>
            <w:tcW w:w="2207" w:type="dxa"/>
          </w:tcPr>
          <w:p w14:paraId="055BAF74" w14:textId="77777777" w:rsidR="00DE3E26" w:rsidRPr="006C7E2E" w:rsidRDefault="00DE3E26" w:rsidP="0070391F">
            <w:pPr>
              <w:rPr>
                <w:sz w:val="24"/>
                <w:szCs w:val="24"/>
              </w:rPr>
            </w:pPr>
            <w:r w:rsidRPr="006C7E2E">
              <w:rPr>
                <w:sz w:val="24"/>
                <w:szCs w:val="24"/>
              </w:rPr>
              <w:t xml:space="preserve">Sin información </w:t>
            </w:r>
          </w:p>
        </w:tc>
        <w:tc>
          <w:tcPr>
            <w:tcW w:w="2207" w:type="dxa"/>
          </w:tcPr>
          <w:p w14:paraId="29669E94" w14:textId="77777777" w:rsidR="00DE3E26" w:rsidRPr="006C7E2E" w:rsidRDefault="00DE3E26" w:rsidP="00484702">
            <w:pPr>
              <w:jc w:val="center"/>
              <w:rPr>
                <w:sz w:val="24"/>
                <w:szCs w:val="24"/>
              </w:rPr>
            </w:pPr>
            <w:r w:rsidRPr="006C7E2E">
              <w:rPr>
                <w:sz w:val="24"/>
                <w:szCs w:val="24"/>
              </w:rPr>
              <w:t>2</w:t>
            </w:r>
          </w:p>
        </w:tc>
        <w:tc>
          <w:tcPr>
            <w:tcW w:w="2208" w:type="dxa"/>
          </w:tcPr>
          <w:p w14:paraId="60DE5866" w14:textId="77777777" w:rsidR="00DE3E26" w:rsidRPr="006C7E2E" w:rsidRDefault="00DE3E26" w:rsidP="0070391F">
            <w:pPr>
              <w:rPr>
                <w:sz w:val="24"/>
                <w:szCs w:val="24"/>
              </w:rPr>
            </w:pPr>
            <w:r w:rsidRPr="006C7E2E">
              <w:rPr>
                <w:sz w:val="24"/>
                <w:szCs w:val="24"/>
              </w:rPr>
              <w:t>Con NUNC</w:t>
            </w:r>
          </w:p>
        </w:tc>
        <w:tc>
          <w:tcPr>
            <w:tcW w:w="2208" w:type="dxa"/>
          </w:tcPr>
          <w:p w14:paraId="4CF22994" w14:textId="77777777" w:rsidR="00DE3E26" w:rsidRPr="006C7E2E" w:rsidRDefault="00DE3E26" w:rsidP="00484702">
            <w:pPr>
              <w:jc w:val="center"/>
              <w:rPr>
                <w:sz w:val="24"/>
                <w:szCs w:val="24"/>
              </w:rPr>
            </w:pPr>
            <w:r w:rsidRPr="006C7E2E">
              <w:rPr>
                <w:sz w:val="24"/>
                <w:szCs w:val="24"/>
              </w:rPr>
              <w:t>2</w:t>
            </w:r>
          </w:p>
        </w:tc>
      </w:tr>
      <w:tr w:rsidR="00DE3E26" w:rsidRPr="006C7E2E" w14:paraId="35135685" w14:textId="77777777" w:rsidTr="0070391F">
        <w:tc>
          <w:tcPr>
            <w:tcW w:w="4414" w:type="dxa"/>
            <w:gridSpan w:val="2"/>
            <w:shd w:val="clear" w:color="auto" w:fill="AEAAAA" w:themeFill="background2" w:themeFillShade="BF"/>
          </w:tcPr>
          <w:p w14:paraId="758ACE3E" w14:textId="77777777" w:rsidR="00DE3E26" w:rsidRPr="006C7E2E" w:rsidRDefault="00DE3E26" w:rsidP="00484702">
            <w:pPr>
              <w:jc w:val="center"/>
              <w:rPr>
                <w:b/>
                <w:sz w:val="24"/>
                <w:szCs w:val="24"/>
              </w:rPr>
            </w:pPr>
            <w:r w:rsidRPr="006C7E2E">
              <w:rPr>
                <w:b/>
                <w:sz w:val="24"/>
                <w:szCs w:val="24"/>
              </w:rPr>
              <w:t>Ley 975 (4 casos)</w:t>
            </w:r>
          </w:p>
        </w:tc>
        <w:tc>
          <w:tcPr>
            <w:tcW w:w="4416" w:type="dxa"/>
            <w:gridSpan w:val="2"/>
            <w:shd w:val="clear" w:color="auto" w:fill="AEAAAA" w:themeFill="background2" w:themeFillShade="BF"/>
          </w:tcPr>
          <w:p w14:paraId="691711D0" w14:textId="77777777" w:rsidR="00DE3E26" w:rsidRPr="006C7E2E" w:rsidRDefault="00DE3E26" w:rsidP="00484702">
            <w:pPr>
              <w:jc w:val="center"/>
              <w:rPr>
                <w:b/>
                <w:sz w:val="24"/>
                <w:szCs w:val="24"/>
              </w:rPr>
            </w:pPr>
            <w:r w:rsidRPr="006C7E2E">
              <w:rPr>
                <w:b/>
                <w:sz w:val="24"/>
                <w:szCs w:val="24"/>
              </w:rPr>
              <w:t>Ley 975 (70 casos)</w:t>
            </w:r>
          </w:p>
        </w:tc>
      </w:tr>
      <w:tr w:rsidR="00DE3E26" w:rsidRPr="006C7E2E" w14:paraId="52B6FB14" w14:textId="77777777" w:rsidTr="0070391F">
        <w:tc>
          <w:tcPr>
            <w:tcW w:w="2207" w:type="dxa"/>
            <w:vMerge w:val="restart"/>
          </w:tcPr>
          <w:p w14:paraId="41EAECC1" w14:textId="77777777" w:rsidR="00DE3E26" w:rsidRPr="006C7E2E" w:rsidRDefault="00DE3E26" w:rsidP="0070391F">
            <w:pPr>
              <w:rPr>
                <w:sz w:val="24"/>
                <w:szCs w:val="24"/>
              </w:rPr>
            </w:pPr>
            <w:r w:rsidRPr="006C7E2E">
              <w:rPr>
                <w:sz w:val="24"/>
                <w:szCs w:val="24"/>
              </w:rPr>
              <w:t xml:space="preserve">Imputación </w:t>
            </w:r>
          </w:p>
        </w:tc>
        <w:tc>
          <w:tcPr>
            <w:tcW w:w="2207" w:type="dxa"/>
            <w:vMerge w:val="restart"/>
          </w:tcPr>
          <w:p w14:paraId="6C898A0B" w14:textId="77777777" w:rsidR="00DE3E26" w:rsidRPr="006C7E2E" w:rsidRDefault="00DE3E26" w:rsidP="00484702">
            <w:pPr>
              <w:jc w:val="center"/>
              <w:rPr>
                <w:sz w:val="24"/>
                <w:szCs w:val="24"/>
              </w:rPr>
            </w:pPr>
            <w:r w:rsidRPr="006C7E2E">
              <w:rPr>
                <w:sz w:val="24"/>
                <w:szCs w:val="24"/>
              </w:rPr>
              <w:t>1</w:t>
            </w:r>
          </w:p>
        </w:tc>
        <w:tc>
          <w:tcPr>
            <w:tcW w:w="2208" w:type="dxa"/>
          </w:tcPr>
          <w:p w14:paraId="7381B158" w14:textId="77777777" w:rsidR="00DE3E26" w:rsidRPr="006C7E2E" w:rsidRDefault="00DE3E26" w:rsidP="0070391F">
            <w:pPr>
              <w:rPr>
                <w:sz w:val="24"/>
                <w:szCs w:val="24"/>
              </w:rPr>
            </w:pPr>
            <w:r w:rsidRPr="006C7E2E">
              <w:rPr>
                <w:sz w:val="24"/>
                <w:szCs w:val="24"/>
              </w:rPr>
              <w:t>Documentación</w:t>
            </w:r>
          </w:p>
        </w:tc>
        <w:tc>
          <w:tcPr>
            <w:tcW w:w="2208" w:type="dxa"/>
          </w:tcPr>
          <w:p w14:paraId="517D65CB" w14:textId="77777777" w:rsidR="00DE3E26" w:rsidRPr="006C7E2E" w:rsidRDefault="00DE3E26" w:rsidP="00484702">
            <w:pPr>
              <w:jc w:val="center"/>
              <w:rPr>
                <w:sz w:val="24"/>
                <w:szCs w:val="24"/>
              </w:rPr>
            </w:pPr>
            <w:r w:rsidRPr="006C7E2E">
              <w:rPr>
                <w:sz w:val="24"/>
                <w:szCs w:val="24"/>
              </w:rPr>
              <w:t>43</w:t>
            </w:r>
          </w:p>
        </w:tc>
      </w:tr>
      <w:tr w:rsidR="00DE3E26" w:rsidRPr="006C7E2E" w14:paraId="75C01455" w14:textId="77777777" w:rsidTr="0070391F">
        <w:tc>
          <w:tcPr>
            <w:tcW w:w="2207" w:type="dxa"/>
            <w:vMerge/>
          </w:tcPr>
          <w:p w14:paraId="50CB2267" w14:textId="77777777" w:rsidR="00DE3E26" w:rsidRPr="006C7E2E" w:rsidRDefault="00DE3E26" w:rsidP="0070391F">
            <w:pPr>
              <w:rPr>
                <w:sz w:val="24"/>
                <w:szCs w:val="24"/>
              </w:rPr>
            </w:pPr>
          </w:p>
        </w:tc>
        <w:tc>
          <w:tcPr>
            <w:tcW w:w="2207" w:type="dxa"/>
            <w:vMerge/>
          </w:tcPr>
          <w:p w14:paraId="1BF3B817" w14:textId="77777777" w:rsidR="00DE3E26" w:rsidRPr="006C7E2E" w:rsidRDefault="00DE3E26" w:rsidP="00484702">
            <w:pPr>
              <w:jc w:val="center"/>
              <w:rPr>
                <w:sz w:val="24"/>
                <w:szCs w:val="24"/>
              </w:rPr>
            </w:pPr>
          </w:p>
        </w:tc>
        <w:tc>
          <w:tcPr>
            <w:tcW w:w="2208" w:type="dxa"/>
          </w:tcPr>
          <w:p w14:paraId="6FEA08B1" w14:textId="77777777" w:rsidR="00DE3E26" w:rsidRPr="006C7E2E" w:rsidRDefault="00DE3E26" w:rsidP="0070391F">
            <w:pPr>
              <w:rPr>
                <w:sz w:val="24"/>
                <w:szCs w:val="24"/>
              </w:rPr>
            </w:pPr>
            <w:r w:rsidRPr="006C7E2E">
              <w:rPr>
                <w:sz w:val="24"/>
                <w:szCs w:val="24"/>
              </w:rPr>
              <w:t>Versión libre</w:t>
            </w:r>
          </w:p>
        </w:tc>
        <w:tc>
          <w:tcPr>
            <w:tcW w:w="2208" w:type="dxa"/>
          </w:tcPr>
          <w:p w14:paraId="005C734D" w14:textId="77777777" w:rsidR="00DE3E26" w:rsidRPr="006C7E2E" w:rsidRDefault="00DE3E26" w:rsidP="00484702">
            <w:pPr>
              <w:jc w:val="center"/>
              <w:rPr>
                <w:sz w:val="24"/>
                <w:szCs w:val="24"/>
              </w:rPr>
            </w:pPr>
            <w:r w:rsidRPr="006C7E2E">
              <w:rPr>
                <w:sz w:val="24"/>
                <w:szCs w:val="24"/>
              </w:rPr>
              <w:t>14</w:t>
            </w:r>
          </w:p>
        </w:tc>
      </w:tr>
      <w:tr w:rsidR="00DE3E26" w:rsidRPr="006C7E2E" w14:paraId="0A7A16A5" w14:textId="77777777" w:rsidTr="0070391F">
        <w:tc>
          <w:tcPr>
            <w:tcW w:w="2207" w:type="dxa"/>
          </w:tcPr>
          <w:p w14:paraId="64D8E608" w14:textId="77777777" w:rsidR="00DE3E26" w:rsidRPr="006C7E2E" w:rsidRDefault="00DE3E26" w:rsidP="0070391F">
            <w:pPr>
              <w:rPr>
                <w:sz w:val="24"/>
                <w:szCs w:val="24"/>
              </w:rPr>
            </w:pPr>
            <w:r w:rsidRPr="006C7E2E">
              <w:rPr>
                <w:sz w:val="24"/>
                <w:szCs w:val="24"/>
              </w:rPr>
              <w:t>Audiencia concentrada</w:t>
            </w:r>
          </w:p>
        </w:tc>
        <w:tc>
          <w:tcPr>
            <w:tcW w:w="2207" w:type="dxa"/>
          </w:tcPr>
          <w:p w14:paraId="6FFDB15F" w14:textId="77777777" w:rsidR="00DE3E26" w:rsidRPr="006C7E2E" w:rsidRDefault="00DE3E26" w:rsidP="00484702">
            <w:pPr>
              <w:jc w:val="center"/>
              <w:rPr>
                <w:sz w:val="24"/>
                <w:szCs w:val="24"/>
              </w:rPr>
            </w:pPr>
            <w:r w:rsidRPr="006C7E2E">
              <w:rPr>
                <w:sz w:val="24"/>
                <w:szCs w:val="24"/>
              </w:rPr>
              <w:t>2</w:t>
            </w:r>
          </w:p>
        </w:tc>
        <w:tc>
          <w:tcPr>
            <w:tcW w:w="2208" w:type="dxa"/>
          </w:tcPr>
          <w:p w14:paraId="728A7C00" w14:textId="77777777" w:rsidR="00DE3E26" w:rsidRPr="006C7E2E" w:rsidRDefault="00DE3E26" w:rsidP="0070391F">
            <w:pPr>
              <w:rPr>
                <w:sz w:val="24"/>
                <w:szCs w:val="24"/>
              </w:rPr>
            </w:pPr>
            <w:r w:rsidRPr="006C7E2E">
              <w:rPr>
                <w:sz w:val="24"/>
                <w:szCs w:val="24"/>
              </w:rPr>
              <w:t>Audiencia concentrada</w:t>
            </w:r>
          </w:p>
        </w:tc>
        <w:tc>
          <w:tcPr>
            <w:tcW w:w="2208" w:type="dxa"/>
          </w:tcPr>
          <w:p w14:paraId="45C3FAD2" w14:textId="77777777" w:rsidR="00DE3E26" w:rsidRPr="006C7E2E" w:rsidRDefault="00DE3E26" w:rsidP="00484702">
            <w:pPr>
              <w:jc w:val="center"/>
              <w:rPr>
                <w:sz w:val="24"/>
                <w:szCs w:val="24"/>
              </w:rPr>
            </w:pPr>
            <w:r w:rsidRPr="006C7E2E">
              <w:rPr>
                <w:sz w:val="24"/>
                <w:szCs w:val="24"/>
              </w:rPr>
              <w:t>8</w:t>
            </w:r>
          </w:p>
        </w:tc>
      </w:tr>
      <w:tr w:rsidR="00DE3E26" w:rsidRPr="006C7E2E" w14:paraId="4A7E9878" w14:textId="77777777" w:rsidTr="0070391F">
        <w:tc>
          <w:tcPr>
            <w:tcW w:w="2207" w:type="dxa"/>
            <w:vMerge w:val="restart"/>
          </w:tcPr>
          <w:p w14:paraId="08C36EF1" w14:textId="77777777" w:rsidR="00DE3E26" w:rsidRPr="006C7E2E" w:rsidRDefault="00DE3E26" w:rsidP="0070391F">
            <w:pPr>
              <w:rPr>
                <w:sz w:val="24"/>
                <w:szCs w:val="24"/>
              </w:rPr>
            </w:pPr>
            <w:r w:rsidRPr="006C7E2E">
              <w:rPr>
                <w:sz w:val="24"/>
                <w:szCs w:val="24"/>
              </w:rPr>
              <w:t>Sentencia</w:t>
            </w:r>
          </w:p>
        </w:tc>
        <w:tc>
          <w:tcPr>
            <w:tcW w:w="2207" w:type="dxa"/>
            <w:vMerge w:val="restart"/>
          </w:tcPr>
          <w:p w14:paraId="4C83D377" w14:textId="77777777" w:rsidR="00DE3E26" w:rsidRPr="006C7E2E" w:rsidRDefault="00DE3E26" w:rsidP="00484702">
            <w:pPr>
              <w:jc w:val="center"/>
              <w:rPr>
                <w:sz w:val="24"/>
                <w:szCs w:val="24"/>
              </w:rPr>
            </w:pPr>
            <w:r w:rsidRPr="006C7E2E">
              <w:rPr>
                <w:sz w:val="24"/>
                <w:szCs w:val="24"/>
              </w:rPr>
              <w:t>1</w:t>
            </w:r>
          </w:p>
        </w:tc>
        <w:tc>
          <w:tcPr>
            <w:tcW w:w="2208" w:type="dxa"/>
          </w:tcPr>
          <w:p w14:paraId="785453BE" w14:textId="77777777" w:rsidR="00DE3E26" w:rsidRPr="006C7E2E" w:rsidRDefault="00DE3E26" w:rsidP="0070391F">
            <w:pPr>
              <w:rPr>
                <w:sz w:val="24"/>
                <w:szCs w:val="24"/>
              </w:rPr>
            </w:pPr>
            <w:r w:rsidRPr="006C7E2E">
              <w:rPr>
                <w:sz w:val="24"/>
                <w:szCs w:val="24"/>
              </w:rPr>
              <w:t>Sentencia</w:t>
            </w:r>
          </w:p>
        </w:tc>
        <w:tc>
          <w:tcPr>
            <w:tcW w:w="2208" w:type="dxa"/>
          </w:tcPr>
          <w:p w14:paraId="561DA638" w14:textId="77777777" w:rsidR="00DE3E26" w:rsidRPr="006C7E2E" w:rsidRDefault="00DE3E26" w:rsidP="00484702">
            <w:pPr>
              <w:jc w:val="center"/>
              <w:rPr>
                <w:sz w:val="24"/>
                <w:szCs w:val="24"/>
              </w:rPr>
            </w:pPr>
            <w:r w:rsidRPr="006C7E2E">
              <w:rPr>
                <w:sz w:val="24"/>
                <w:szCs w:val="24"/>
              </w:rPr>
              <w:t>2</w:t>
            </w:r>
          </w:p>
        </w:tc>
      </w:tr>
      <w:tr w:rsidR="00DE3E26" w:rsidRPr="006C7E2E" w14:paraId="4A318710" w14:textId="77777777" w:rsidTr="0070391F">
        <w:tc>
          <w:tcPr>
            <w:tcW w:w="2207" w:type="dxa"/>
            <w:vMerge/>
          </w:tcPr>
          <w:p w14:paraId="75AC2389" w14:textId="77777777" w:rsidR="00DE3E26" w:rsidRPr="006C7E2E" w:rsidRDefault="00DE3E26" w:rsidP="0070391F">
            <w:pPr>
              <w:rPr>
                <w:sz w:val="24"/>
                <w:szCs w:val="24"/>
              </w:rPr>
            </w:pPr>
          </w:p>
        </w:tc>
        <w:tc>
          <w:tcPr>
            <w:tcW w:w="2207" w:type="dxa"/>
            <w:vMerge/>
          </w:tcPr>
          <w:p w14:paraId="67DC26D8" w14:textId="77777777" w:rsidR="00DE3E26" w:rsidRPr="006C7E2E" w:rsidRDefault="00DE3E26" w:rsidP="0070391F">
            <w:pPr>
              <w:rPr>
                <w:sz w:val="24"/>
                <w:szCs w:val="24"/>
              </w:rPr>
            </w:pPr>
          </w:p>
        </w:tc>
        <w:tc>
          <w:tcPr>
            <w:tcW w:w="2208" w:type="dxa"/>
          </w:tcPr>
          <w:p w14:paraId="03CB11DA" w14:textId="77777777" w:rsidR="00DE3E26" w:rsidRPr="006C7E2E" w:rsidRDefault="00DE3E26" w:rsidP="0070391F">
            <w:pPr>
              <w:rPr>
                <w:sz w:val="24"/>
                <w:szCs w:val="24"/>
              </w:rPr>
            </w:pPr>
            <w:r w:rsidRPr="006C7E2E">
              <w:rPr>
                <w:sz w:val="24"/>
                <w:szCs w:val="24"/>
              </w:rPr>
              <w:t>Incidente de reparación</w:t>
            </w:r>
          </w:p>
        </w:tc>
        <w:tc>
          <w:tcPr>
            <w:tcW w:w="2208" w:type="dxa"/>
          </w:tcPr>
          <w:p w14:paraId="20788275" w14:textId="77777777" w:rsidR="00DE3E26" w:rsidRPr="006C7E2E" w:rsidRDefault="00DE3E26" w:rsidP="00484702">
            <w:pPr>
              <w:jc w:val="center"/>
              <w:rPr>
                <w:sz w:val="24"/>
                <w:szCs w:val="24"/>
              </w:rPr>
            </w:pPr>
            <w:r w:rsidRPr="006C7E2E">
              <w:rPr>
                <w:sz w:val="24"/>
                <w:szCs w:val="24"/>
              </w:rPr>
              <w:t>2</w:t>
            </w:r>
          </w:p>
        </w:tc>
      </w:tr>
      <w:tr w:rsidR="00DE3E26" w:rsidRPr="006C7E2E" w14:paraId="4678190B" w14:textId="77777777" w:rsidTr="0070391F">
        <w:tc>
          <w:tcPr>
            <w:tcW w:w="2207" w:type="dxa"/>
            <w:vMerge/>
          </w:tcPr>
          <w:p w14:paraId="6917525E" w14:textId="77777777" w:rsidR="00DE3E26" w:rsidRPr="006C7E2E" w:rsidRDefault="00DE3E26" w:rsidP="0070391F">
            <w:pPr>
              <w:rPr>
                <w:sz w:val="24"/>
                <w:szCs w:val="24"/>
              </w:rPr>
            </w:pPr>
          </w:p>
        </w:tc>
        <w:tc>
          <w:tcPr>
            <w:tcW w:w="2207" w:type="dxa"/>
            <w:vMerge/>
          </w:tcPr>
          <w:p w14:paraId="3EBFCD05" w14:textId="77777777" w:rsidR="00DE3E26" w:rsidRPr="006C7E2E" w:rsidRDefault="00DE3E26" w:rsidP="0070391F">
            <w:pPr>
              <w:rPr>
                <w:sz w:val="24"/>
                <w:szCs w:val="24"/>
              </w:rPr>
            </w:pPr>
          </w:p>
        </w:tc>
        <w:tc>
          <w:tcPr>
            <w:tcW w:w="2208" w:type="dxa"/>
          </w:tcPr>
          <w:p w14:paraId="5F290FBB" w14:textId="7CE2C145" w:rsidR="00DE3E26" w:rsidRPr="006C7E2E" w:rsidRDefault="00DE3E26" w:rsidP="0070391F">
            <w:pPr>
              <w:rPr>
                <w:sz w:val="24"/>
                <w:szCs w:val="24"/>
              </w:rPr>
            </w:pPr>
            <w:r w:rsidRPr="006C7E2E">
              <w:rPr>
                <w:sz w:val="24"/>
                <w:szCs w:val="24"/>
              </w:rPr>
              <w:t xml:space="preserve">Fuera del </w:t>
            </w:r>
            <w:r w:rsidR="00484702">
              <w:rPr>
                <w:sz w:val="24"/>
                <w:szCs w:val="24"/>
              </w:rPr>
              <w:t>marco de la L</w:t>
            </w:r>
            <w:r w:rsidRPr="006C7E2E">
              <w:rPr>
                <w:sz w:val="24"/>
                <w:szCs w:val="24"/>
              </w:rPr>
              <w:t>ey</w:t>
            </w:r>
            <w:r w:rsidR="00484702">
              <w:rPr>
                <w:sz w:val="24"/>
                <w:szCs w:val="24"/>
              </w:rPr>
              <w:t xml:space="preserve"> 975</w:t>
            </w:r>
          </w:p>
        </w:tc>
        <w:tc>
          <w:tcPr>
            <w:tcW w:w="2208" w:type="dxa"/>
          </w:tcPr>
          <w:p w14:paraId="454D6DBF" w14:textId="77777777" w:rsidR="00DE3E26" w:rsidRPr="006C7E2E" w:rsidRDefault="00DE3E26" w:rsidP="00484702">
            <w:pPr>
              <w:jc w:val="center"/>
              <w:rPr>
                <w:sz w:val="24"/>
                <w:szCs w:val="24"/>
              </w:rPr>
            </w:pPr>
            <w:r w:rsidRPr="006C7E2E">
              <w:rPr>
                <w:sz w:val="24"/>
                <w:szCs w:val="24"/>
              </w:rPr>
              <w:t>1</w:t>
            </w:r>
          </w:p>
        </w:tc>
      </w:tr>
      <w:tr w:rsidR="006C7E2E" w:rsidRPr="006C7E2E" w14:paraId="41E045BE" w14:textId="77777777" w:rsidTr="006C7E2E">
        <w:tc>
          <w:tcPr>
            <w:tcW w:w="8830" w:type="dxa"/>
            <w:gridSpan w:val="4"/>
            <w:shd w:val="clear" w:color="auto" w:fill="BFBFBF" w:themeFill="background1" w:themeFillShade="BF"/>
          </w:tcPr>
          <w:p w14:paraId="4A1E5867" w14:textId="77777777" w:rsidR="006C7E2E" w:rsidRPr="006C7E2E" w:rsidRDefault="006C7E2E" w:rsidP="006C7E2E">
            <w:pPr>
              <w:jc w:val="center"/>
              <w:rPr>
                <w:b/>
                <w:sz w:val="24"/>
                <w:szCs w:val="24"/>
              </w:rPr>
            </w:pPr>
            <w:r w:rsidRPr="006C7E2E">
              <w:rPr>
                <w:b/>
                <w:sz w:val="24"/>
                <w:szCs w:val="24"/>
              </w:rPr>
              <w:t>Auto 009 de 2015</w:t>
            </w:r>
          </w:p>
          <w:p w14:paraId="3656FACC" w14:textId="058B3FE1" w:rsidR="006C7E2E" w:rsidRPr="006C7E2E" w:rsidRDefault="006C7E2E" w:rsidP="006C7E2E">
            <w:pPr>
              <w:jc w:val="center"/>
              <w:rPr>
                <w:b/>
                <w:sz w:val="24"/>
                <w:szCs w:val="24"/>
              </w:rPr>
            </w:pPr>
          </w:p>
        </w:tc>
      </w:tr>
      <w:tr w:rsidR="006C7E2E" w14:paraId="574635CE" w14:textId="77777777" w:rsidTr="0070391F">
        <w:tc>
          <w:tcPr>
            <w:tcW w:w="4414" w:type="dxa"/>
            <w:gridSpan w:val="2"/>
          </w:tcPr>
          <w:p w14:paraId="23A38287" w14:textId="77777777" w:rsidR="006C7E2E" w:rsidRPr="006C7E2E" w:rsidRDefault="006C7E2E" w:rsidP="006C7E2E">
            <w:pPr>
              <w:jc w:val="center"/>
              <w:rPr>
                <w:b/>
                <w:sz w:val="24"/>
                <w:szCs w:val="24"/>
              </w:rPr>
            </w:pPr>
            <w:r w:rsidRPr="006C7E2E">
              <w:rPr>
                <w:b/>
                <w:sz w:val="24"/>
                <w:szCs w:val="24"/>
              </w:rPr>
              <w:t xml:space="preserve">Presentación de la Fiscalía General de la Nación el 17 de abril de 2018 </w:t>
            </w:r>
          </w:p>
          <w:p w14:paraId="1B3C6E99" w14:textId="52D32F09" w:rsidR="006C7E2E" w:rsidRPr="006C7E2E" w:rsidRDefault="006C7E2E" w:rsidP="006C7E2E">
            <w:pPr>
              <w:jc w:val="center"/>
              <w:rPr>
                <w:b/>
                <w:sz w:val="24"/>
                <w:szCs w:val="24"/>
              </w:rPr>
            </w:pPr>
            <w:r w:rsidRPr="006C7E2E">
              <w:rPr>
                <w:b/>
                <w:sz w:val="24"/>
                <w:szCs w:val="24"/>
              </w:rPr>
              <w:t xml:space="preserve"> (442 casos) </w:t>
            </w:r>
          </w:p>
        </w:tc>
        <w:tc>
          <w:tcPr>
            <w:tcW w:w="4416" w:type="dxa"/>
            <w:gridSpan w:val="2"/>
          </w:tcPr>
          <w:p w14:paraId="2C832FD7" w14:textId="6A17B9A7" w:rsidR="006C7E2E" w:rsidRPr="006C7E2E" w:rsidRDefault="006C7E2E" w:rsidP="006C7E2E">
            <w:pPr>
              <w:jc w:val="center"/>
              <w:rPr>
                <w:b/>
                <w:sz w:val="24"/>
                <w:szCs w:val="24"/>
              </w:rPr>
            </w:pPr>
            <w:r w:rsidRPr="006C7E2E">
              <w:rPr>
                <w:b/>
                <w:sz w:val="24"/>
                <w:szCs w:val="24"/>
              </w:rPr>
              <w:t>Informe de la Fisc</w:t>
            </w:r>
            <w:r w:rsidR="00F15616">
              <w:rPr>
                <w:b/>
                <w:sz w:val="24"/>
                <w:szCs w:val="24"/>
              </w:rPr>
              <w:t>alía General de la Nación del 22</w:t>
            </w:r>
            <w:r w:rsidRPr="006C7E2E">
              <w:rPr>
                <w:b/>
                <w:sz w:val="24"/>
                <w:szCs w:val="24"/>
              </w:rPr>
              <w:t xml:space="preserve"> de Mayo de 2018 </w:t>
            </w:r>
          </w:p>
          <w:p w14:paraId="786BB686" w14:textId="30845AAC" w:rsidR="006C7E2E" w:rsidRPr="006C7E2E" w:rsidRDefault="006C7E2E" w:rsidP="006C7E2E">
            <w:pPr>
              <w:jc w:val="center"/>
              <w:rPr>
                <w:b/>
                <w:sz w:val="24"/>
                <w:szCs w:val="24"/>
              </w:rPr>
            </w:pPr>
            <w:r w:rsidRPr="006C7E2E">
              <w:rPr>
                <w:b/>
                <w:sz w:val="24"/>
                <w:szCs w:val="24"/>
              </w:rPr>
              <w:t>(402 casos)</w:t>
            </w:r>
          </w:p>
        </w:tc>
      </w:tr>
      <w:tr w:rsidR="006C7E2E" w14:paraId="47BFD5B4" w14:textId="77777777" w:rsidTr="0070391F">
        <w:tc>
          <w:tcPr>
            <w:tcW w:w="4414" w:type="dxa"/>
            <w:gridSpan w:val="2"/>
            <w:shd w:val="clear" w:color="auto" w:fill="AEAAAA" w:themeFill="background2" w:themeFillShade="BF"/>
          </w:tcPr>
          <w:p w14:paraId="3B8AF4E1" w14:textId="77777777" w:rsidR="006C7E2E" w:rsidRPr="006C7E2E" w:rsidRDefault="006C7E2E" w:rsidP="0070391F">
            <w:pPr>
              <w:jc w:val="center"/>
              <w:rPr>
                <w:b/>
                <w:sz w:val="24"/>
                <w:szCs w:val="24"/>
              </w:rPr>
            </w:pPr>
            <w:r w:rsidRPr="006C7E2E">
              <w:rPr>
                <w:b/>
                <w:sz w:val="24"/>
                <w:szCs w:val="24"/>
              </w:rPr>
              <w:t>Ley 600 (126)</w:t>
            </w:r>
          </w:p>
        </w:tc>
        <w:tc>
          <w:tcPr>
            <w:tcW w:w="4416" w:type="dxa"/>
            <w:gridSpan w:val="2"/>
            <w:shd w:val="clear" w:color="auto" w:fill="AEAAAA" w:themeFill="background2" w:themeFillShade="BF"/>
          </w:tcPr>
          <w:p w14:paraId="5CE13BCB" w14:textId="77777777" w:rsidR="006C7E2E" w:rsidRPr="006C7E2E" w:rsidRDefault="006C7E2E" w:rsidP="0070391F">
            <w:pPr>
              <w:jc w:val="center"/>
              <w:rPr>
                <w:b/>
                <w:sz w:val="24"/>
                <w:szCs w:val="24"/>
              </w:rPr>
            </w:pPr>
            <w:r w:rsidRPr="006C7E2E">
              <w:rPr>
                <w:b/>
                <w:sz w:val="24"/>
                <w:szCs w:val="24"/>
              </w:rPr>
              <w:t>Ley 600 (119 casos)</w:t>
            </w:r>
          </w:p>
        </w:tc>
      </w:tr>
      <w:tr w:rsidR="006C7E2E" w14:paraId="66F7D084" w14:textId="77777777" w:rsidTr="0070391F">
        <w:tc>
          <w:tcPr>
            <w:tcW w:w="2207" w:type="dxa"/>
          </w:tcPr>
          <w:p w14:paraId="25763701" w14:textId="77777777" w:rsidR="006C7E2E" w:rsidRPr="006C7E2E" w:rsidRDefault="006C7E2E" w:rsidP="0070391F">
            <w:pPr>
              <w:rPr>
                <w:sz w:val="24"/>
                <w:szCs w:val="24"/>
              </w:rPr>
            </w:pPr>
            <w:r w:rsidRPr="006C7E2E">
              <w:rPr>
                <w:sz w:val="24"/>
                <w:szCs w:val="24"/>
              </w:rPr>
              <w:t xml:space="preserve">Investigación preliminar </w:t>
            </w:r>
          </w:p>
        </w:tc>
        <w:tc>
          <w:tcPr>
            <w:tcW w:w="2207" w:type="dxa"/>
          </w:tcPr>
          <w:p w14:paraId="4328E852" w14:textId="77777777" w:rsidR="006C7E2E" w:rsidRPr="006C7E2E" w:rsidRDefault="006C7E2E" w:rsidP="00484702">
            <w:pPr>
              <w:jc w:val="center"/>
              <w:rPr>
                <w:sz w:val="24"/>
                <w:szCs w:val="24"/>
              </w:rPr>
            </w:pPr>
            <w:r w:rsidRPr="006C7E2E">
              <w:rPr>
                <w:sz w:val="24"/>
                <w:szCs w:val="24"/>
              </w:rPr>
              <w:t>84</w:t>
            </w:r>
          </w:p>
        </w:tc>
        <w:tc>
          <w:tcPr>
            <w:tcW w:w="2208" w:type="dxa"/>
          </w:tcPr>
          <w:p w14:paraId="13656C28" w14:textId="77777777" w:rsidR="006C7E2E" w:rsidRPr="006C7E2E" w:rsidRDefault="006C7E2E" w:rsidP="0070391F">
            <w:pPr>
              <w:rPr>
                <w:sz w:val="24"/>
                <w:szCs w:val="24"/>
              </w:rPr>
            </w:pPr>
            <w:r w:rsidRPr="006C7E2E">
              <w:rPr>
                <w:sz w:val="24"/>
                <w:szCs w:val="24"/>
              </w:rPr>
              <w:t>Investigación preliminar</w:t>
            </w:r>
          </w:p>
        </w:tc>
        <w:tc>
          <w:tcPr>
            <w:tcW w:w="2208" w:type="dxa"/>
          </w:tcPr>
          <w:p w14:paraId="34F2F041" w14:textId="77777777" w:rsidR="006C7E2E" w:rsidRPr="006C7E2E" w:rsidRDefault="006C7E2E" w:rsidP="00484702">
            <w:pPr>
              <w:jc w:val="center"/>
              <w:rPr>
                <w:sz w:val="24"/>
                <w:szCs w:val="24"/>
              </w:rPr>
            </w:pPr>
            <w:r w:rsidRPr="006C7E2E">
              <w:rPr>
                <w:sz w:val="24"/>
                <w:szCs w:val="24"/>
              </w:rPr>
              <w:t>94</w:t>
            </w:r>
          </w:p>
        </w:tc>
      </w:tr>
      <w:tr w:rsidR="006C7E2E" w14:paraId="64666B13" w14:textId="77777777" w:rsidTr="0070391F">
        <w:tc>
          <w:tcPr>
            <w:tcW w:w="2207" w:type="dxa"/>
            <w:vMerge w:val="restart"/>
          </w:tcPr>
          <w:p w14:paraId="4C074F2A" w14:textId="77777777" w:rsidR="006C7E2E" w:rsidRPr="006C7E2E" w:rsidRDefault="006C7E2E" w:rsidP="0070391F">
            <w:pPr>
              <w:rPr>
                <w:sz w:val="24"/>
                <w:szCs w:val="24"/>
              </w:rPr>
            </w:pPr>
            <w:r w:rsidRPr="006C7E2E">
              <w:rPr>
                <w:sz w:val="24"/>
                <w:szCs w:val="24"/>
              </w:rPr>
              <w:t xml:space="preserve">Instrucción </w:t>
            </w:r>
          </w:p>
        </w:tc>
        <w:tc>
          <w:tcPr>
            <w:tcW w:w="2207" w:type="dxa"/>
            <w:vMerge w:val="restart"/>
          </w:tcPr>
          <w:p w14:paraId="4F74D7B9" w14:textId="77777777" w:rsidR="006C7E2E" w:rsidRPr="006C7E2E" w:rsidRDefault="006C7E2E" w:rsidP="00484702">
            <w:pPr>
              <w:jc w:val="center"/>
              <w:rPr>
                <w:sz w:val="24"/>
                <w:szCs w:val="24"/>
              </w:rPr>
            </w:pPr>
            <w:r w:rsidRPr="006C7E2E">
              <w:rPr>
                <w:sz w:val="24"/>
                <w:szCs w:val="24"/>
              </w:rPr>
              <w:t>9</w:t>
            </w:r>
          </w:p>
        </w:tc>
        <w:tc>
          <w:tcPr>
            <w:tcW w:w="2208" w:type="dxa"/>
          </w:tcPr>
          <w:p w14:paraId="5084A966" w14:textId="77777777" w:rsidR="006C7E2E" w:rsidRPr="006C7E2E" w:rsidRDefault="006C7E2E" w:rsidP="0070391F">
            <w:pPr>
              <w:rPr>
                <w:sz w:val="24"/>
                <w:szCs w:val="24"/>
              </w:rPr>
            </w:pPr>
            <w:r w:rsidRPr="006C7E2E">
              <w:rPr>
                <w:sz w:val="24"/>
                <w:szCs w:val="24"/>
              </w:rPr>
              <w:t>Instrucción</w:t>
            </w:r>
          </w:p>
        </w:tc>
        <w:tc>
          <w:tcPr>
            <w:tcW w:w="2208" w:type="dxa"/>
          </w:tcPr>
          <w:p w14:paraId="0C639C0E" w14:textId="77777777" w:rsidR="006C7E2E" w:rsidRPr="006C7E2E" w:rsidRDefault="006C7E2E" w:rsidP="00484702">
            <w:pPr>
              <w:jc w:val="center"/>
              <w:rPr>
                <w:sz w:val="24"/>
                <w:szCs w:val="24"/>
              </w:rPr>
            </w:pPr>
            <w:r w:rsidRPr="006C7E2E">
              <w:rPr>
                <w:sz w:val="24"/>
                <w:szCs w:val="24"/>
              </w:rPr>
              <w:t>37</w:t>
            </w:r>
          </w:p>
        </w:tc>
      </w:tr>
      <w:tr w:rsidR="006C7E2E" w14:paraId="2ABC4729" w14:textId="77777777" w:rsidTr="0070391F">
        <w:tc>
          <w:tcPr>
            <w:tcW w:w="2207" w:type="dxa"/>
            <w:vMerge/>
          </w:tcPr>
          <w:p w14:paraId="48269543" w14:textId="77777777" w:rsidR="006C7E2E" w:rsidRPr="006C7E2E" w:rsidRDefault="006C7E2E" w:rsidP="0070391F">
            <w:pPr>
              <w:rPr>
                <w:sz w:val="24"/>
                <w:szCs w:val="24"/>
              </w:rPr>
            </w:pPr>
          </w:p>
        </w:tc>
        <w:tc>
          <w:tcPr>
            <w:tcW w:w="2207" w:type="dxa"/>
            <w:vMerge/>
          </w:tcPr>
          <w:p w14:paraId="0B39119F" w14:textId="77777777" w:rsidR="006C7E2E" w:rsidRPr="006C7E2E" w:rsidRDefault="006C7E2E" w:rsidP="00484702">
            <w:pPr>
              <w:jc w:val="center"/>
              <w:rPr>
                <w:sz w:val="24"/>
                <w:szCs w:val="24"/>
              </w:rPr>
            </w:pPr>
          </w:p>
        </w:tc>
        <w:tc>
          <w:tcPr>
            <w:tcW w:w="2208" w:type="dxa"/>
          </w:tcPr>
          <w:p w14:paraId="2765B1EB" w14:textId="77777777" w:rsidR="006C7E2E" w:rsidRPr="006C7E2E" w:rsidRDefault="006C7E2E" w:rsidP="0070391F">
            <w:pPr>
              <w:rPr>
                <w:sz w:val="24"/>
                <w:szCs w:val="24"/>
              </w:rPr>
            </w:pPr>
            <w:r w:rsidRPr="006C7E2E">
              <w:rPr>
                <w:sz w:val="24"/>
                <w:szCs w:val="24"/>
              </w:rPr>
              <w:t xml:space="preserve">Juicio </w:t>
            </w:r>
          </w:p>
        </w:tc>
        <w:tc>
          <w:tcPr>
            <w:tcW w:w="2208" w:type="dxa"/>
          </w:tcPr>
          <w:p w14:paraId="03673DD8" w14:textId="77777777" w:rsidR="006C7E2E" w:rsidRPr="006C7E2E" w:rsidRDefault="006C7E2E" w:rsidP="00484702">
            <w:pPr>
              <w:jc w:val="center"/>
              <w:rPr>
                <w:sz w:val="24"/>
                <w:szCs w:val="24"/>
              </w:rPr>
            </w:pPr>
            <w:r w:rsidRPr="006C7E2E">
              <w:rPr>
                <w:sz w:val="24"/>
                <w:szCs w:val="24"/>
              </w:rPr>
              <w:t>9</w:t>
            </w:r>
          </w:p>
        </w:tc>
      </w:tr>
      <w:tr w:rsidR="006C7E2E" w14:paraId="4480D8CB" w14:textId="77777777" w:rsidTr="0070391F">
        <w:tc>
          <w:tcPr>
            <w:tcW w:w="2207" w:type="dxa"/>
          </w:tcPr>
          <w:p w14:paraId="1402B282" w14:textId="77777777" w:rsidR="006C7E2E" w:rsidRPr="006C7E2E" w:rsidRDefault="006C7E2E" w:rsidP="0070391F">
            <w:pPr>
              <w:rPr>
                <w:sz w:val="24"/>
                <w:szCs w:val="24"/>
              </w:rPr>
            </w:pPr>
            <w:r w:rsidRPr="006C7E2E">
              <w:rPr>
                <w:sz w:val="24"/>
                <w:szCs w:val="24"/>
              </w:rPr>
              <w:t xml:space="preserve">Sin información </w:t>
            </w:r>
          </w:p>
        </w:tc>
        <w:tc>
          <w:tcPr>
            <w:tcW w:w="2207" w:type="dxa"/>
          </w:tcPr>
          <w:p w14:paraId="4686EB0F" w14:textId="77777777" w:rsidR="006C7E2E" w:rsidRPr="006C7E2E" w:rsidRDefault="006C7E2E" w:rsidP="00484702">
            <w:pPr>
              <w:jc w:val="center"/>
              <w:rPr>
                <w:sz w:val="24"/>
                <w:szCs w:val="24"/>
              </w:rPr>
            </w:pPr>
            <w:r w:rsidRPr="006C7E2E">
              <w:rPr>
                <w:sz w:val="24"/>
                <w:szCs w:val="24"/>
              </w:rPr>
              <w:t>33</w:t>
            </w:r>
          </w:p>
        </w:tc>
        <w:tc>
          <w:tcPr>
            <w:tcW w:w="2208" w:type="dxa"/>
          </w:tcPr>
          <w:p w14:paraId="40F48361" w14:textId="77777777" w:rsidR="006C7E2E" w:rsidRPr="006C7E2E" w:rsidRDefault="006C7E2E" w:rsidP="0070391F">
            <w:pPr>
              <w:rPr>
                <w:sz w:val="24"/>
                <w:szCs w:val="24"/>
              </w:rPr>
            </w:pPr>
            <w:r w:rsidRPr="006C7E2E">
              <w:rPr>
                <w:sz w:val="24"/>
                <w:szCs w:val="24"/>
              </w:rPr>
              <w:t>Sin información</w:t>
            </w:r>
          </w:p>
        </w:tc>
        <w:tc>
          <w:tcPr>
            <w:tcW w:w="2208" w:type="dxa"/>
          </w:tcPr>
          <w:p w14:paraId="7F60ED69" w14:textId="77777777" w:rsidR="006C7E2E" w:rsidRPr="006C7E2E" w:rsidRDefault="006C7E2E" w:rsidP="00484702">
            <w:pPr>
              <w:jc w:val="center"/>
              <w:rPr>
                <w:sz w:val="24"/>
                <w:szCs w:val="24"/>
              </w:rPr>
            </w:pPr>
            <w:r w:rsidRPr="006C7E2E">
              <w:rPr>
                <w:sz w:val="24"/>
                <w:szCs w:val="24"/>
              </w:rPr>
              <w:t>0</w:t>
            </w:r>
          </w:p>
        </w:tc>
      </w:tr>
      <w:tr w:rsidR="006C7E2E" w14:paraId="5DB6C18E" w14:textId="77777777" w:rsidTr="0070391F">
        <w:tc>
          <w:tcPr>
            <w:tcW w:w="4414" w:type="dxa"/>
            <w:gridSpan w:val="2"/>
            <w:shd w:val="clear" w:color="auto" w:fill="AEAAAA" w:themeFill="background2" w:themeFillShade="BF"/>
          </w:tcPr>
          <w:p w14:paraId="1E09C322" w14:textId="3CECA477" w:rsidR="006C7E2E" w:rsidRPr="006C7E2E" w:rsidRDefault="006C7E2E" w:rsidP="00484702">
            <w:pPr>
              <w:jc w:val="center"/>
              <w:rPr>
                <w:b/>
                <w:sz w:val="24"/>
                <w:szCs w:val="24"/>
              </w:rPr>
            </w:pPr>
            <w:r w:rsidRPr="006C7E2E">
              <w:rPr>
                <w:b/>
                <w:sz w:val="24"/>
                <w:szCs w:val="24"/>
              </w:rPr>
              <w:lastRenderedPageBreak/>
              <w:t>Ley 906</w:t>
            </w:r>
            <w:r w:rsidR="003A1DFA">
              <w:rPr>
                <w:b/>
                <w:sz w:val="24"/>
                <w:szCs w:val="24"/>
              </w:rPr>
              <w:t xml:space="preserve"> </w:t>
            </w:r>
            <w:r w:rsidRPr="006C7E2E">
              <w:rPr>
                <w:b/>
                <w:sz w:val="24"/>
                <w:szCs w:val="24"/>
              </w:rPr>
              <w:t>(150 casos)</w:t>
            </w:r>
          </w:p>
        </w:tc>
        <w:tc>
          <w:tcPr>
            <w:tcW w:w="4416" w:type="dxa"/>
            <w:gridSpan w:val="2"/>
            <w:shd w:val="clear" w:color="auto" w:fill="AEAAAA" w:themeFill="background2" w:themeFillShade="BF"/>
          </w:tcPr>
          <w:p w14:paraId="778FAB97" w14:textId="77777777" w:rsidR="006C7E2E" w:rsidRPr="006C7E2E" w:rsidRDefault="006C7E2E" w:rsidP="00484702">
            <w:pPr>
              <w:jc w:val="center"/>
              <w:rPr>
                <w:b/>
                <w:sz w:val="24"/>
                <w:szCs w:val="24"/>
              </w:rPr>
            </w:pPr>
            <w:r w:rsidRPr="006C7E2E">
              <w:rPr>
                <w:b/>
                <w:sz w:val="24"/>
                <w:szCs w:val="24"/>
              </w:rPr>
              <w:t>Ley 906 (153 casos)</w:t>
            </w:r>
          </w:p>
        </w:tc>
      </w:tr>
      <w:tr w:rsidR="006C7E2E" w14:paraId="5C66D863" w14:textId="77777777" w:rsidTr="0070391F">
        <w:tc>
          <w:tcPr>
            <w:tcW w:w="2207" w:type="dxa"/>
          </w:tcPr>
          <w:p w14:paraId="472C4E9C" w14:textId="77777777" w:rsidR="006C7E2E" w:rsidRPr="006C7E2E" w:rsidRDefault="006C7E2E" w:rsidP="0070391F">
            <w:pPr>
              <w:rPr>
                <w:sz w:val="24"/>
                <w:szCs w:val="24"/>
              </w:rPr>
            </w:pPr>
            <w:r w:rsidRPr="006C7E2E">
              <w:rPr>
                <w:sz w:val="24"/>
                <w:szCs w:val="24"/>
              </w:rPr>
              <w:t xml:space="preserve">Indagación </w:t>
            </w:r>
          </w:p>
        </w:tc>
        <w:tc>
          <w:tcPr>
            <w:tcW w:w="2207" w:type="dxa"/>
          </w:tcPr>
          <w:p w14:paraId="09D09157" w14:textId="77777777" w:rsidR="006C7E2E" w:rsidRPr="006C7E2E" w:rsidRDefault="006C7E2E" w:rsidP="00484702">
            <w:pPr>
              <w:jc w:val="center"/>
              <w:rPr>
                <w:sz w:val="24"/>
                <w:szCs w:val="24"/>
              </w:rPr>
            </w:pPr>
            <w:r w:rsidRPr="006C7E2E">
              <w:rPr>
                <w:sz w:val="24"/>
                <w:szCs w:val="24"/>
              </w:rPr>
              <w:t>134</w:t>
            </w:r>
          </w:p>
        </w:tc>
        <w:tc>
          <w:tcPr>
            <w:tcW w:w="2208" w:type="dxa"/>
          </w:tcPr>
          <w:p w14:paraId="216461D7" w14:textId="77777777" w:rsidR="006C7E2E" w:rsidRPr="006C7E2E" w:rsidRDefault="006C7E2E" w:rsidP="0070391F">
            <w:pPr>
              <w:rPr>
                <w:sz w:val="24"/>
                <w:szCs w:val="24"/>
              </w:rPr>
            </w:pPr>
            <w:r w:rsidRPr="006C7E2E">
              <w:rPr>
                <w:sz w:val="24"/>
                <w:szCs w:val="24"/>
              </w:rPr>
              <w:t>Indagación</w:t>
            </w:r>
          </w:p>
        </w:tc>
        <w:tc>
          <w:tcPr>
            <w:tcW w:w="2208" w:type="dxa"/>
          </w:tcPr>
          <w:p w14:paraId="230A4787" w14:textId="77777777" w:rsidR="006C7E2E" w:rsidRPr="006C7E2E" w:rsidRDefault="006C7E2E" w:rsidP="00484702">
            <w:pPr>
              <w:jc w:val="center"/>
              <w:rPr>
                <w:sz w:val="24"/>
                <w:szCs w:val="24"/>
              </w:rPr>
            </w:pPr>
            <w:r w:rsidRPr="006C7E2E">
              <w:rPr>
                <w:sz w:val="24"/>
                <w:szCs w:val="24"/>
              </w:rPr>
              <w:t>132</w:t>
            </w:r>
          </w:p>
        </w:tc>
      </w:tr>
      <w:tr w:rsidR="006C7E2E" w14:paraId="28F3787B" w14:textId="77777777" w:rsidTr="0070391F">
        <w:tc>
          <w:tcPr>
            <w:tcW w:w="2207" w:type="dxa"/>
          </w:tcPr>
          <w:p w14:paraId="70883FB4" w14:textId="77777777" w:rsidR="006C7E2E" w:rsidRPr="006C7E2E" w:rsidRDefault="006C7E2E" w:rsidP="0070391F">
            <w:pPr>
              <w:rPr>
                <w:sz w:val="24"/>
                <w:szCs w:val="24"/>
              </w:rPr>
            </w:pPr>
            <w:r w:rsidRPr="006C7E2E">
              <w:rPr>
                <w:sz w:val="24"/>
                <w:szCs w:val="24"/>
              </w:rPr>
              <w:t xml:space="preserve">Investigación previa </w:t>
            </w:r>
          </w:p>
        </w:tc>
        <w:tc>
          <w:tcPr>
            <w:tcW w:w="2207" w:type="dxa"/>
          </w:tcPr>
          <w:p w14:paraId="3600D241" w14:textId="77777777" w:rsidR="006C7E2E" w:rsidRPr="006C7E2E" w:rsidRDefault="006C7E2E" w:rsidP="00484702">
            <w:pPr>
              <w:jc w:val="center"/>
              <w:rPr>
                <w:sz w:val="24"/>
                <w:szCs w:val="24"/>
              </w:rPr>
            </w:pPr>
            <w:r w:rsidRPr="006C7E2E">
              <w:rPr>
                <w:sz w:val="24"/>
                <w:szCs w:val="24"/>
              </w:rPr>
              <w:t>8</w:t>
            </w:r>
          </w:p>
        </w:tc>
        <w:tc>
          <w:tcPr>
            <w:tcW w:w="2208" w:type="dxa"/>
          </w:tcPr>
          <w:p w14:paraId="588ED6D0" w14:textId="77777777" w:rsidR="006C7E2E" w:rsidRPr="006C7E2E" w:rsidRDefault="006C7E2E" w:rsidP="0070391F">
            <w:pPr>
              <w:rPr>
                <w:sz w:val="24"/>
                <w:szCs w:val="24"/>
              </w:rPr>
            </w:pPr>
            <w:r w:rsidRPr="006C7E2E">
              <w:rPr>
                <w:sz w:val="24"/>
                <w:szCs w:val="24"/>
              </w:rPr>
              <w:t>Investigación previa</w:t>
            </w:r>
          </w:p>
        </w:tc>
        <w:tc>
          <w:tcPr>
            <w:tcW w:w="2208" w:type="dxa"/>
          </w:tcPr>
          <w:p w14:paraId="7AD3C32C" w14:textId="77777777" w:rsidR="006C7E2E" w:rsidRPr="006C7E2E" w:rsidRDefault="006C7E2E" w:rsidP="00484702">
            <w:pPr>
              <w:jc w:val="center"/>
              <w:rPr>
                <w:sz w:val="24"/>
                <w:szCs w:val="24"/>
              </w:rPr>
            </w:pPr>
            <w:r w:rsidRPr="006C7E2E">
              <w:rPr>
                <w:sz w:val="24"/>
                <w:szCs w:val="24"/>
              </w:rPr>
              <w:t>8</w:t>
            </w:r>
          </w:p>
        </w:tc>
      </w:tr>
      <w:tr w:rsidR="006C7E2E" w14:paraId="672A6435" w14:textId="77777777" w:rsidTr="0070391F">
        <w:tc>
          <w:tcPr>
            <w:tcW w:w="2207" w:type="dxa"/>
          </w:tcPr>
          <w:p w14:paraId="1F61C626" w14:textId="77777777" w:rsidR="006C7E2E" w:rsidRPr="006C7E2E" w:rsidRDefault="006C7E2E" w:rsidP="0070391F">
            <w:pPr>
              <w:rPr>
                <w:sz w:val="24"/>
                <w:szCs w:val="24"/>
              </w:rPr>
            </w:pPr>
            <w:r w:rsidRPr="006C7E2E">
              <w:rPr>
                <w:sz w:val="24"/>
                <w:szCs w:val="24"/>
              </w:rPr>
              <w:t xml:space="preserve">Juicio </w:t>
            </w:r>
          </w:p>
        </w:tc>
        <w:tc>
          <w:tcPr>
            <w:tcW w:w="2207" w:type="dxa"/>
          </w:tcPr>
          <w:p w14:paraId="04FB73E1" w14:textId="77777777" w:rsidR="006C7E2E" w:rsidRPr="006C7E2E" w:rsidRDefault="006C7E2E" w:rsidP="00484702">
            <w:pPr>
              <w:jc w:val="center"/>
              <w:rPr>
                <w:sz w:val="24"/>
                <w:szCs w:val="24"/>
              </w:rPr>
            </w:pPr>
            <w:r w:rsidRPr="006C7E2E">
              <w:rPr>
                <w:sz w:val="24"/>
                <w:szCs w:val="24"/>
              </w:rPr>
              <w:t>1</w:t>
            </w:r>
          </w:p>
        </w:tc>
        <w:tc>
          <w:tcPr>
            <w:tcW w:w="2208" w:type="dxa"/>
          </w:tcPr>
          <w:p w14:paraId="3D992A92" w14:textId="77777777" w:rsidR="006C7E2E" w:rsidRPr="006C7E2E" w:rsidRDefault="006C7E2E" w:rsidP="0070391F">
            <w:pPr>
              <w:rPr>
                <w:sz w:val="24"/>
                <w:szCs w:val="24"/>
              </w:rPr>
            </w:pPr>
            <w:r w:rsidRPr="006C7E2E">
              <w:rPr>
                <w:sz w:val="24"/>
                <w:szCs w:val="24"/>
              </w:rPr>
              <w:t xml:space="preserve">Juicio </w:t>
            </w:r>
          </w:p>
        </w:tc>
        <w:tc>
          <w:tcPr>
            <w:tcW w:w="2208" w:type="dxa"/>
          </w:tcPr>
          <w:p w14:paraId="380306D8" w14:textId="77777777" w:rsidR="006C7E2E" w:rsidRPr="006C7E2E" w:rsidRDefault="006C7E2E" w:rsidP="00484702">
            <w:pPr>
              <w:jc w:val="center"/>
              <w:rPr>
                <w:sz w:val="24"/>
                <w:szCs w:val="24"/>
              </w:rPr>
            </w:pPr>
            <w:r w:rsidRPr="006C7E2E">
              <w:rPr>
                <w:sz w:val="24"/>
                <w:szCs w:val="24"/>
              </w:rPr>
              <w:t>8</w:t>
            </w:r>
          </w:p>
        </w:tc>
      </w:tr>
      <w:tr w:rsidR="006C7E2E" w14:paraId="30415EC3" w14:textId="77777777" w:rsidTr="0070391F">
        <w:tc>
          <w:tcPr>
            <w:tcW w:w="2207" w:type="dxa"/>
          </w:tcPr>
          <w:p w14:paraId="605339FE" w14:textId="77777777" w:rsidR="006C7E2E" w:rsidRPr="006C7E2E" w:rsidRDefault="006C7E2E" w:rsidP="0070391F">
            <w:pPr>
              <w:rPr>
                <w:sz w:val="24"/>
                <w:szCs w:val="24"/>
              </w:rPr>
            </w:pPr>
            <w:r w:rsidRPr="006C7E2E">
              <w:rPr>
                <w:sz w:val="24"/>
                <w:szCs w:val="24"/>
              </w:rPr>
              <w:t>Ejecución de penas</w:t>
            </w:r>
          </w:p>
        </w:tc>
        <w:tc>
          <w:tcPr>
            <w:tcW w:w="2207" w:type="dxa"/>
          </w:tcPr>
          <w:p w14:paraId="73E49EF6" w14:textId="77777777" w:rsidR="006C7E2E" w:rsidRPr="006C7E2E" w:rsidRDefault="006C7E2E" w:rsidP="00484702">
            <w:pPr>
              <w:jc w:val="center"/>
              <w:rPr>
                <w:sz w:val="24"/>
                <w:szCs w:val="24"/>
              </w:rPr>
            </w:pPr>
            <w:r w:rsidRPr="006C7E2E">
              <w:rPr>
                <w:sz w:val="24"/>
                <w:szCs w:val="24"/>
              </w:rPr>
              <w:t>4</w:t>
            </w:r>
          </w:p>
        </w:tc>
        <w:tc>
          <w:tcPr>
            <w:tcW w:w="2208" w:type="dxa"/>
          </w:tcPr>
          <w:p w14:paraId="24B32D78" w14:textId="77777777" w:rsidR="006C7E2E" w:rsidRPr="006C7E2E" w:rsidRDefault="006C7E2E" w:rsidP="0070391F">
            <w:pPr>
              <w:rPr>
                <w:sz w:val="24"/>
                <w:szCs w:val="24"/>
              </w:rPr>
            </w:pPr>
            <w:r w:rsidRPr="006C7E2E">
              <w:rPr>
                <w:sz w:val="24"/>
                <w:szCs w:val="24"/>
              </w:rPr>
              <w:t>Ejecución de penas</w:t>
            </w:r>
          </w:p>
        </w:tc>
        <w:tc>
          <w:tcPr>
            <w:tcW w:w="2208" w:type="dxa"/>
          </w:tcPr>
          <w:p w14:paraId="08E40FDE" w14:textId="77777777" w:rsidR="006C7E2E" w:rsidRPr="006C7E2E" w:rsidRDefault="006C7E2E" w:rsidP="00484702">
            <w:pPr>
              <w:jc w:val="center"/>
              <w:rPr>
                <w:sz w:val="24"/>
                <w:szCs w:val="24"/>
              </w:rPr>
            </w:pPr>
            <w:r w:rsidRPr="006C7E2E">
              <w:rPr>
                <w:sz w:val="24"/>
                <w:szCs w:val="24"/>
              </w:rPr>
              <w:t>1</w:t>
            </w:r>
          </w:p>
        </w:tc>
      </w:tr>
      <w:tr w:rsidR="006C7E2E" w14:paraId="5A7161F0" w14:textId="77777777" w:rsidTr="0070391F">
        <w:tc>
          <w:tcPr>
            <w:tcW w:w="2207" w:type="dxa"/>
          </w:tcPr>
          <w:p w14:paraId="56DD31A2" w14:textId="77777777" w:rsidR="006C7E2E" w:rsidRPr="006C7E2E" w:rsidRDefault="006C7E2E" w:rsidP="0070391F">
            <w:pPr>
              <w:rPr>
                <w:sz w:val="24"/>
                <w:szCs w:val="24"/>
              </w:rPr>
            </w:pPr>
            <w:r w:rsidRPr="006C7E2E">
              <w:rPr>
                <w:sz w:val="24"/>
                <w:szCs w:val="24"/>
              </w:rPr>
              <w:t xml:space="preserve">Sin información </w:t>
            </w:r>
          </w:p>
        </w:tc>
        <w:tc>
          <w:tcPr>
            <w:tcW w:w="2207" w:type="dxa"/>
          </w:tcPr>
          <w:p w14:paraId="7EC60909" w14:textId="77777777" w:rsidR="006C7E2E" w:rsidRPr="006C7E2E" w:rsidRDefault="006C7E2E" w:rsidP="00484702">
            <w:pPr>
              <w:jc w:val="center"/>
              <w:rPr>
                <w:sz w:val="24"/>
                <w:szCs w:val="24"/>
              </w:rPr>
            </w:pPr>
            <w:r w:rsidRPr="006C7E2E">
              <w:rPr>
                <w:sz w:val="24"/>
                <w:szCs w:val="24"/>
              </w:rPr>
              <w:t>3</w:t>
            </w:r>
          </w:p>
        </w:tc>
        <w:tc>
          <w:tcPr>
            <w:tcW w:w="2208" w:type="dxa"/>
          </w:tcPr>
          <w:p w14:paraId="0E55A1C6" w14:textId="77777777" w:rsidR="006C7E2E" w:rsidRPr="006C7E2E" w:rsidRDefault="006C7E2E" w:rsidP="0070391F">
            <w:pPr>
              <w:rPr>
                <w:sz w:val="24"/>
                <w:szCs w:val="24"/>
              </w:rPr>
            </w:pPr>
            <w:r w:rsidRPr="006C7E2E">
              <w:rPr>
                <w:sz w:val="24"/>
                <w:szCs w:val="24"/>
              </w:rPr>
              <w:t>Con NUNC</w:t>
            </w:r>
          </w:p>
        </w:tc>
        <w:tc>
          <w:tcPr>
            <w:tcW w:w="2208" w:type="dxa"/>
          </w:tcPr>
          <w:p w14:paraId="062BD404" w14:textId="77777777" w:rsidR="006C7E2E" w:rsidRPr="006C7E2E" w:rsidRDefault="006C7E2E" w:rsidP="00484702">
            <w:pPr>
              <w:jc w:val="center"/>
              <w:rPr>
                <w:sz w:val="24"/>
                <w:szCs w:val="24"/>
              </w:rPr>
            </w:pPr>
            <w:r w:rsidRPr="006C7E2E">
              <w:rPr>
                <w:sz w:val="24"/>
                <w:szCs w:val="24"/>
              </w:rPr>
              <w:t>4</w:t>
            </w:r>
          </w:p>
        </w:tc>
      </w:tr>
      <w:tr w:rsidR="006C7E2E" w14:paraId="6A72DE46" w14:textId="77777777" w:rsidTr="0070391F">
        <w:tc>
          <w:tcPr>
            <w:tcW w:w="4414" w:type="dxa"/>
            <w:gridSpan w:val="2"/>
            <w:shd w:val="clear" w:color="auto" w:fill="AEAAAA" w:themeFill="background2" w:themeFillShade="BF"/>
          </w:tcPr>
          <w:p w14:paraId="4AC70EC7" w14:textId="77777777" w:rsidR="006C7E2E" w:rsidRPr="006C7E2E" w:rsidRDefault="006C7E2E" w:rsidP="00484702">
            <w:pPr>
              <w:jc w:val="center"/>
              <w:rPr>
                <w:b/>
                <w:sz w:val="24"/>
                <w:szCs w:val="24"/>
              </w:rPr>
            </w:pPr>
            <w:r w:rsidRPr="006C7E2E">
              <w:rPr>
                <w:b/>
                <w:sz w:val="24"/>
                <w:szCs w:val="24"/>
              </w:rPr>
              <w:t>Ley 975 (161 casos)</w:t>
            </w:r>
          </w:p>
        </w:tc>
        <w:tc>
          <w:tcPr>
            <w:tcW w:w="4416" w:type="dxa"/>
            <w:gridSpan w:val="2"/>
            <w:shd w:val="clear" w:color="auto" w:fill="AEAAAA" w:themeFill="background2" w:themeFillShade="BF"/>
          </w:tcPr>
          <w:p w14:paraId="518EB2EC" w14:textId="77777777" w:rsidR="006C7E2E" w:rsidRPr="006C7E2E" w:rsidRDefault="006C7E2E" w:rsidP="00484702">
            <w:pPr>
              <w:jc w:val="center"/>
              <w:rPr>
                <w:b/>
                <w:sz w:val="24"/>
                <w:szCs w:val="24"/>
              </w:rPr>
            </w:pPr>
            <w:r w:rsidRPr="006C7E2E">
              <w:rPr>
                <w:b/>
                <w:sz w:val="24"/>
                <w:szCs w:val="24"/>
              </w:rPr>
              <w:t>Ley 975 (130 casos)</w:t>
            </w:r>
          </w:p>
        </w:tc>
      </w:tr>
      <w:tr w:rsidR="006C7E2E" w14:paraId="7AB53E35" w14:textId="77777777" w:rsidTr="0070391F">
        <w:tc>
          <w:tcPr>
            <w:tcW w:w="2207" w:type="dxa"/>
          </w:tcPr>
          <w:p w14:paraId="53C61BC3" w14:textId="77777777" w:rsidR="006C7E2E" w:rsidRPr="006C7E2E" w:rsidRDefault="006C7E2E" w:rsidP="0070391F">
            <w:pPr>
              <w:rPr>
                <w:sz w:val="24"/>
                <w:szCs w:val="24"/>
              </w:rPr>
            </w:pPr>
            <w:r w:rsidRPr="006C7E2E">
              <w:rPr>
                <w:sz w:val="24"/>
                <w:szCs w:val="24"/>
              </w:rPr>
              <w:t xml:space="preserve">Documentación </w:t>
            </w:r>
          </w:p>
        </w:tc>
        <w:tc>
          <w:tcPr>
            <w:tcW w:w="2207" w:type="dxa"/>
          </w:tcPr>
          <w:p w14:paraId="7223FD1A" w14:textId="77777777" w:rsidR="006C7E2E" w:rsidRPr="006C7E2E" w:rsidRDefault="006C7E2E" w:rsidP="00484702">
            <w:pPr>
              <w:jc w:val="center"/>
              <w:rPr>
                <w:sz w:val="24"/>
                <w:szCs w:val="24"/>
              </w:rPr>
            </w:pPr>
            <w:r w:rsidRPr="006C7E2E">
              <w:rPr>
                <w:sz w:val="24"/>
                <w:szCs w:val="24"/>
              </w:rPr>
              <w:t>63</w:t>
            </w:r>
          </w:p>
        </w:tc>
        <w:tc>
          <w:tcPr>
            <w:tcW w:w="2208" w:type="dxa"/>
          </w:tcPr>
          <w:p w14:paraId="69B1B28C" w14:textId="77777777" w:rsidR="006C7E2E" w:rsidRPr="006C7E2E" w:rsidRDefault="006C7E2E" w:rsidP="0070391F">
            <w:pPr>
              <w:rPr>
                <w:sz w:val="24"/>
                <w:szCs w:val="24"/>
              </w:rPr>
            </w:pPr>
            <w:r w:rsidRPr="006C7E2E">
              <w:rPr>
                <w:sz w:val="24"/>
                <w:szCs w:val="24"/>
              </w:rPr>
              <w:t>Documentación</w:t>
            </w:r>
          </w:p>
        </w:tc>
        <w:tc>
          <w:tcPr>
            <w:tcW w:w="2208" w:type="dxa"/>
          </w:tcPr>
          <w:p w14:paraId="611B9879" w14:textId="77777777" w:rsidR="006C7E2E" w:rsidRPr="006C7E2E" w:rsidRDefault="006C7E2E" w:rsidP="00484702">
            <w:pPr>
              <w:jc w:val="center"/>
              <w:rPr>
                <w:sz w:val="24"/>
                <w:szCs w:val="24"/>
              </w:rPr>
            </w:pPr>
            <w:r w:rsidRPr="006C7E2E">
              <w:rPr>
                <w:sz w:val="24"/>
                <w:szCs w:val="24"/>
              </w:rPr>
              <w:t>69</w:t>
            </w:r>
          </w:p>
        </w:tc>
      </w:tr>
      <w:tr w:rsidR="006C7E2E" w14:paraId="5CA15D10" w14:textId="77777777" w:rsidTr="0070391F">
        <w:tc>
          <w:tcPr>
            <w:tcW w:w="2207" w:type="dxa"/>
            <w:vMerge w:val="restart"/>
          </w:tcPr>
          <w:p w14:paraId="162078CF" w14:textId="77777777" w:rsidR="006C7E2E" w:rsidRPr="006C7E2E" w:rsidRDefault="006C7E2E" w:rsidP="0070391F">
            <w:pPr>
              <w:rPr>
                <w:sz w:val="24"/>
                <w:szCs w:val="24"/>
              </w:rPr>
            </w:pPr>
            <w:r w:rsidRPr="006C7E2E">
              <w:rPr>
                <w:sz w:val="24"/>
                <w:szCs w:val="24"/>
              </w:rPr>
              <w:t>Imputación</w:t>
            </w:r>
          </w:p>
        </w:tc>
        <w:tc>
          <w:tcPr>
            <w:tcW w:w="2207" w:type="dxa"/>
            <w:vMerge w:val="restart"/>
          </w:tcPr>
          <w:p w14:paraId="76C752EB" w14:textId="77777777" w:rsidR="006C7E2E" w:rsidRPr="006C7E2E" w:rsidRDefault="006C7E2E" w:rsidP="00484702">
            <w:pPr>
              <w:jc w:val="center"/>
              <w:rPr>
                <w:sz w:val="24"/>
                <w:szCs w:val="24"/>
              </w:rPr>
            </w:pPr>
            <w:r w:rsidRPr="006C7E2E">
              <w:rPr>
                <w:sz w:val="24"/>
                <w:szCs w:val="24"/>
              </w:rPr>
              <w:t>32</w:t>
            </w:r>
          </w:p>
        </w:tc>
        <w:tc>
          <w:tcPr>
            <w:tcW w:w="2208" w:type="dxa"/>
          </w:tcPr>
          <w:p w14:paraId="57C50AA3" w14:textId="77777777" w:rsidR="006C7E2E" w:rsidRPr="006C7E2E" w:rsidRDefault="006C7E2E" w:rsidP="0070391F">
            <w:pPr>
              <w:rPr>
                <w:sz w:val="24"/>
                <w:szCs w:val="24"/>
              </w:rPr>
            </w:pPr>
            <w:r w:rsidRPr="006C7E2E">
              <w:rPr>
                <w:sz w:val="24"/>
                <w:szCs w:val="24"/>
              </w:rPr>
              <w:t>Imputación</w:t>
            </w:r>
          </w:p>
        </w:tc>
        <w:tc>
          <w:tcPr>
            <w:tcW w:w="2208" w:type="dxa"/>
          </w:tcPr>
          <w:p w14:paraId="3D36066D" w14:textId="77777777" w:rsidR="006C7E2E" w:rsidRPr="006C7E2E" w:rsidRDefault="006C7E2E" w:rsidP="00484702">
            <w:pPr>
              <w:jc w:val="center"/>
              <w:rPr>
                <w:sz w:val="24"/>
                <w:szCs w:val="24"/>
              </w:rPr>
            </w:pPr>
            <w:r w:rsidRPr="006C7E2E">
              <w:rPr>
                <w:sz w:val="24"/>
                <w:szCs w:val="24"/>
              </w:rPr>
              <w:t>51</w:t>
            </w:r>
          </w:p>
        </w:tc>
      </w:tr>
      <w:tr w:rsidR="006C7E2E" w14:paraId="27814708" w14:textId="77777777" w:rsidTr="0070391F">
        <w:tc>
          <w:tcPr>
            <w:tcW w:w="2207" w:type="dxa"/>
            <w:vMerge/>
          </w:tcPr>
          <w:p w14:paraId="357C0402" w14:textId="77777777" w:rsidR="006C7E2E" w:rsidRPr="006C7E2E" w:rsidRDefault="006C7E2E" w:rsidP="0070391F">
            <w:pPr>
              <w:rPr>
                <w:sz w:val="24"/>
                <w:szCs w:val="24"/>
              </w:rPr>
            </w:pPr>
          </w:p>
        </w:tc>
        <w:tc>
          <w:tcPr>
            <w:tcW w:w="2207" w:type="dxa"/>
            <w:vMerge/>
          </w:tcPr>
          <w:p w14:paraId="71B2885B" w14:textId="77777777" w:rsidR="006C7E2E" w:rsidRPr="006C7E2E" w:rsidRDefault="006C7E2E" w:rsidP="00484702">
            <w:pPr>
              <w:jc w:val="center"/>
              <w:rPr>
                <w:sz w:val="24"/>
                <w:szCs w:val="24"/>
              </w:rPr>
            </w:pPr>
          </w:p>
        </w:tc>
        <w:tc>
          <w:tcPr>
            <w:tcW w:w="2208" w:type="dxa"/>
          </w:tcPr>
          <w:p w14:paraId="6925FDC6" w14:textId="77777777" w:rsidR="006C7E2E" w:rsidRPr="006C7E2E" w:rsidRDefault="006C7E2E" w:rsidP="0070391F">
            <w:pPr>
              <w:rPr>
                <w:sz w:val="24"/>
                <w:szCs w:val="24"/>
              </w:rPr>
            </w:pPr>
            <w:r w:rsidRPr="006C7E2E">
              <w:rPr>
                <w:sz w:val="24"/>
                <w:szCs w:val="24"/>
              </w:rPr>
              <w:t>Versión libre</w:t>
            </w:r>
          </w:p>
        </w:tc>
        <w:tc>
          <w:tcPr>
            <w:tcW w:w="2208" w:type="dxa"/>
          </w:tcPr>
          <w:p w14:paraId="7185725D" w14:textId="77777777" w:rsidR="006C7E2E" w:rsidRPr="006C7E2E" w:rsidRDefault="006C7E2E" w:rsidP="00484702">
            <w:pPr>
              <w:jc w:val="center"/>
              <w:rPr>
                <w:sz w:val="24"/>
                <w:szCs w:val="24"/>
              </w:rPr>
            </w:pPr>
            <w:r w:rsidRPr="006C7E2E">
              <w:rPr>
                <w:sz w:val="24"/>
                <w:szCs w:val="24"/>
              </w:rPr>
              <w:t>3</w:t>
            </w:r>
          </w:p>
        </w:tc>
      </w:tr>
      <w:tr w:rsidR="006C7E2E" w14:paraId="555C7F81" w14:textId="77777777" w:rsidTr="0070391F">
        <w:tc>
          <w:tcPr>
            <w:tcW w:w="2207" w:type="dxa"/>
          </w:tcPr>
          <w:p w14:paraId="258ED174" w14:textId="77777777" w:rsidR="006C7E2E" w:rsidRPr="006C7E2E" w:rsidRDefault="006C7E2E" w:rsidP="0070391F">
            <w:pPr>
              <w:rPr>
                <w:sz w:val="24"/>
                <w:szCs w:val="24"/>
              </w:rPr>
            </w:pPr>
            <w:r w:rsidRPr="006C7E2E">
              <w:rPr>
                <w:sz w:val="24"/>
                <w:szCs w:val="24"/>
              </w:rPr>
              <w:t>Sin información</w:t>
            </w:r>
          </w:p>
        </w:tc>
        <w:tc>
          <w:tcPr>
            <w:tcW w:w="2207" w:type="dxa"/>
          </w:tcPr>
          <w:p w14:paraId="730616EB" w14:textId="77777777" w:rsidR="006C7E2E" w:rsidRPr="006C7E2E" w:rsidRDefault="006C7E2E" w:rsidP="00484702">
            <w:pPr>
              <w:jc w:val="center"/>
              <w:rPr>
                <w:sz w:val="24"/>
                <w:szCs w:val="24"/>
              </w:rPr>
            </w:pPr>
            <w:r w:rsidRPr="006C7E2E">
              <w:rPr>
                <w:sz w:val="24"/>
                <w:szCs w:val="24"/>
              </w:rPr>
              <w:t>5</w:t>
            </w:r>
          </w:p>
        </w:tc>
        <w:tc>
          <w:tcPr>
            <w:tcW w:w="2208" w:type="dxa"/>
          </w:tcPr>
          <w:p w14:paraId="4BAA3606" w14:textId="77777777" w:rsidR="006C7E2E" w:rsidRPr="006C7E2E" w:rsidRDefault="006C7E2E" w:rsidP="0070391F">
            <w:pPr>
              <w:rPr>
                <w:sz w:val="24"/>
                <w:szCs w:val="24"/>
              </w:rPr>
            </w:pPr>
            <w:r w:rsidRPr="006C7E2E">
              <w:rPr>
                <w:sz w:val="24"/>
                <w:szCs w:val="24"/>
              </w:rPr>
              <w:t>Audiencia concentrada</w:t>
            </w:r>
          </w:p>
        </w:tc>
        <w:tc>
          <w:tcPr>
            <w:tcW w:w="2208" w:type="dxa"/>
          </w:tcPr>
          <w:p w14:paraId="5BE7595F" w14:textId="77777777" w:rsidR="006C7E2E" w:rsidRPr="006C7E2E" w:rsidRDefault="006C7E2E" w:rsidP="00484702">
            <w:pPr>
              <w:jc w:val="center"/>
              <w:rPr>
                <w:sz w:val="24"/>
                <w:szCs w:val="24"/>
              </w:rPr>
            </w:pPr>
            <w:r w:rsidRPr="006C7E2E">
              <w:rPr>
                <w:sz w:val="24"/>
                <w:szCs w:val="24"/>
              </w:rPr>
              <w:t>1</w:t>
            </w:r>
          </w:p>
        </w:tc>
      </w:tr>
      <w:tr w:rsidR="006C7E2E" w14:paraId="2761BD29" w14:textId="77777777" w:rsidTr="0070391F">
        <w:tc>
          <w:tcPr>
            <w:tcW w:w="2207" w:type="dxa"/>
          </w:tcPr>
          <w:p w14:paraId="58946A94" w14:textId="77777777" w:rsidR="006C7E2E" w:rsidRPr="006C7E2E" w:rsidRDefault="006C7E2E" w:rsidP="0070391F">
            <w:pPr>
              <w:rPr>
                <w:sz w:val="24"/>
                <w:szCs w:val="24"/>
              </w:rPr>
            </w:pPr>
            <w:r w:rsidRPr="006C7E2E">
              <w:rPr>
                <w:sz w:val="24"/>
                <w:szCs w:val="24"/>
              </w:rPr>
              <w:t>Sentencia</w:t>
            </w:r>
          </w:p>
        </w:tc>
        <w:tc>
          <w:tcPr>
            <w:tcW w:w="2207" w:type="dxa"/>
          </w:tcPr>
          <w:p w14:paraId="50C98D20" w14:textId="77777777" w:rsidR="006C7E2E" w:rsidRPr="006C7E2E" w:rsidRDefault="006C7E2E" w:rsidP="00484702">
            <w:pPr>
              <w:jc w:val="center"/>
              <w:rPr>
                <w:sz w:val="24"/>
                <w:szCs w:val="24"/>
              </w:rPr>
            </w:pPr>
            <w:r w:rsidRPr="006C7E2E">
              <w:rPr>
                <w:sz w:val="24"/>
                <w:szCs w:val="24"/>
              </w:rPr>
              <w:t>1</w:t>
            </w:r>
          </w:p>
        </w:tc>
        <w:tc>
          <w:tcPr>
            <w:tcW w:w="2208" w:type="dxa"/>
          </w:tcPr>
          <w:p w14:paraId="5F37EAE7" w14:textId="77777777" w:rsidR="006C7E2E" w:rsidRPr="006C7E2E" w:rsidRDefault="006C7E2E" w:rsidP="0070391F">
            <w:pPr>
              <w:rPr>
                <w:sz w:val="24"/>
                <w:szCs w:val="24"/>
              </w:rPr>
            </w:pPr>
            <w:r w:rsidRPr="006C7E2E">
              <w:rPr>
                <w:sz w:val="24"/>
                <w:szCs w:val="24"/>
              </w:rPr>
              <w:t>Sentencia</w:t>
            </w:r>
          </w:p>
        </w:tc>
        <w:tc>
          <w:tcPr>
            <w:tcW w:w="2208" w:type="dxa"/>
          </w:tcPr>
          <w:p w14:paraId="7F3B776E" w14:textId="77777777" w:rsidR="006C7E2E" w:rsidRPr="006C7E2E" w:rsidRDefault="006C7E2E" w:rsidP="00484702">
            <w:pPr>
              <w:jc w:val="center"/>
              <w:rPr>
                <w:sz w:val="24"/>
                <w:szCs w:val="24"/>
              </w:rPr>
            </w:pPr>
            <w:r w:rsidRPr="006C7E2E">
              <w:rPr>
                <w:sz w:val="24"/>
                <w:szCs w:val="24"/>
              </w:rPr>
              <w:t>1</w:t>
            </w:r>
          </w:p>
        </w:tc>
      </w:tr>
      <w:tr w:rsidR="006C7E2E" w14:paraId="4103F28E" w14:textId="77777777" w:rsidTr="0070391F">
        <w:trPr>
          <w:trHeight w:val="178"/>
        </w:trPr>
        <w:tc>
          <w:tcPr>
            <w:tcW w:w="2207" w:type="dxa"/>
          </w:tcPr>
          <w:p w14:paraId="6BA28DA8" w14:textId="7299936D" w:rsidR="006C7E2E" w:rsidRPr="006C7E2E" w:rsidRDefault="005E1334" w:rsidP="0070391F">
            <w:pPr>
              <w:rPr>
                <w:sz w:val="24"/>
                <w:szCs w:val="24"/>
              </w:rPr>
            </w:pPr>
            <w:r>
              <w:rPr>
                <w:sz w:val="24"/>
                <w:szCs w:val="24"/>
              </w:rPr>
              <w:t>Fuera del marco de la L</w:t>
            </w:r>
            <w:r w:rsidR="006C7E2E" w:rsidRPr="006C7E2E">
              <w:rPr>
                <w:sz w:val="24"/>
                <w:szCs w:val="24"/>
              </w:rPr>
              <w:t>ey 975</w:t>
            </w:r>
          </w:p>
        </w:tc>
        <w:tc>
          <w:tcPr>
            <w:tcW w:w="2207" w:type="dxa"/>
          </w:tcPr>
          <w:p w14:paraId="562155F9" w14:textId="77777777" w:rsidR="006C7E2E" w:rsidRPr="006C7E2E" w:rsidRDefault="006C7E2E" w:rsidP="00484702">
            <w:pPr>
              <w:jc w:val="center"/>
              <w:rPr>
                <w:sz w:val="24"/>
                <w:szCs w:val="24"/>
              </w:rPr>
            </w:pPr>
            <w:r w:rsidRPr="006C7E2E">
              <w:rPr>
                <w:sz w:val="24"/>
                <w:szCs w:val="24"/>
              </w:rPr>
              <w:t>60</w:t>
            </w:r>
          </w:p>
        </w:tc>
        <w:tc>
          <w:tcPr>
            <w:tcW w:w="2208" w:type="dxa"/>
          </w:tcPr>
          <w:p w14:paraId="57EC19AE" w14:textId="55035EE2" w:rsidR="006C7E2E" w:rsidRPr="006C7E2E" w:rsidRDefault="005E1334" w:rsidP="0070391F">
            <w:pPr>
              <w:rPr>
                <w:sz w:val="24"/>
                <w:szCs w:val="24"/>
              </w:rPr>
            </w:pPr>
            <w:r>
              <w:rPr>
                <w:sz w:val="24"/>
                <w:szCs w:val="24"/>
              </w:rPr>
              <w:t>Fuera del marco de la L</w:t>
            </w:r>
            <w:r w:rsidR="006C7E2E" w:rsidRPr="006C7E2E">
              <w:rPr>
                <w:sz w:val="24"/>
                <w:szCs w:val="24"/>
              </w:rPr>
              <w:t>ey 975</w:t>
            </w:r>
          </w:p>
        </w:tc>
        <w:tc>
          <w:tcPr>
            <w:tcW w:w="2208" w:type="dxa"/>
          </w:tcPr>
          <w:p w14:paraId="17A21B74" w14:textId="77777777" w:rsidR="006C7E2E" w:rsidRPr="006C7E2E" w:rsidRDefault="006C7E2E" w:rsidP="00484702">
            <w:pPr>
              <w:jc w:val="center"/>
              <w:rPr>
                <w:sz w:val="24"/>
                <w:szCs w:val="24"/>
              </w:rPr>
            </w:pPr>
            <w:r w:rsidRPr="006C7E2E">
              <w:rPr>
                <w:sz w:val="24"/>
                <w:szCs w:val="24"/>
              </w:rPr>
              <w:t>5</w:t>
            </w:r>
          </w:p>
        </w:tc>
      </w:tr>
      <w:tr w:rsidR="0070391F" w:rsidRPr="006C7E2E" w14:paraId="74EBF5AA" w14:textId="77777777" w:rsidTr="0070391F">
        <w:tc>
          <w:tcPr>
            <w:tcW w:w="4414" w:type="dxa"/>
            <w:gridSpan w:val="2"/>
          </w:tcPr>
          <w:p w14:paraId="666CD412" w14:textId="77777777" w:rsidR="0070391F" w:rsidRDefault="0070391F" w:rsidP="0070391F">
            <w:pPr>
              <w:rPr>
                <w:sz w:val="24"/>
                <w:szCs w:val="24"/>
              </w:rPr>
            </w:pPr>
          </w:p>
          <w:p w14:paraId="7BD9F15D" w14:textId="7810A2F5" w:rsidR="0070391F" w:rsidRDefault="0070391F" w:rsidP="0070391F">
            <w:pPr>
              <w:rPr>
                <w:sz w:val="24"/>
                <w:szCs w:val="24"/>
              </w:rPr>
            </w:pPr>
            <w:r>
              <w:rPr>
                <w:sz w:val="24"/>
                <w:szCs w:val="24"/>
              </w:rPr>
              <w:t>Sin información de procedimiento (5 casos)</w:t>
            </w:r>
          </w:p>
          <w:p w14:paraId="4FE5F7F4" w14:textId="6D5F4B55" w:rsidR="0070391F" w:rsidRPr="006C7E2E" w:rsidRDefault="0070391F" w:rsidP="0070391F">
            <w:pPr>
              <w:rPr>
                <w:sz w:val="24"/>
                <w:szCs w:val="24"/>
              </w:rPr>
            </w:pPr>
          </w:p>
        </w:tc>
        <w:tc>
          <w:tcPr>
            <w:tcW w:w="2208" w:type="dxa"/>
          </w:tcPr>
          <w:p w14:paraId="44662554" w14:textId="77777777" w:rsidR="0070391F" w:rsidRPr="006C7E2E" w:rsidRDefault="0070391F" w:rsidP="0070391F">
            <w:pPr>
              <w:rPr>
                <w:sz w:val="24"/>
                <w:szCs w:val="24"/>
              </w:rPr>
            </w:pPr>
          </w:p>
        </w:tc>
        <w:tc>
          <w:tcPr>
            <w:tcW w:w="2208" w:type="dxa"/>
          </w:tcPr>
          <w:p w14:paraId="1DB2F19E" w14:textId="77777777" w:rsidR="0070391F" w:rsidRPr="006C7E2E" w:rsidRDefault="0070391F" w:rsidP="0070391F">
            <w:pPr>
              <w:rPr>
                <w:sz w:val="24"/>
                <w:szCs w:val="24"/>
              </w:rPr>
            </w:pPr>
          </w:p>
        </w:tc>
      </w:tr>
    </w:tbl>
    <w:p w14:paraId="5D2AE205" w14:textId="413CE18F" w:rsidR="00484702" w:rsidRDefault="00484702" w:rsidP="00484702"/>
    <w:p w14:paraId="3628F8A2" w14:textId="167E6E2B" w:rsidR="00AF0929" w:rsidRPr="00AF0929" w:rsidRDefault="004C597A" w:rsidP="00484702">
      <w:pPr>
        <w:rPr>
          <w:rFonts w:cs="Times New Roman"/>
          <w:shd w:val="clear" w:color="auto" w:fill="FFFFFF"/>
        </w:rPr>
      </w:pPr>
      <w:r>
        <w:t>Al respecto, es necesario que la Fiscalía General aclare lo siguiente: (i) por qué razón varía notablemente la información presentada en la</w:t>
      </w:r>
      <w:r w:rsidR="005E1334">
        <w:t xml:space="preserve"> jornada </w:t>
      </w:r>
      <w:r w:rsidRPr="00F54EF5">
        <w:rPr>
          <w:rFonts w:cs="Times New Roman"/>
          <w:shd w:val="clear" w:color="auto" w:fill="FFFFFF"/>
        </w:rPr>
        <w:t>de trabajo interinstitucional</w:t>
      </w:r>
      <w:r>
        <w:rPr>
          <w:rFonts w:cs="Times New Roman"/>
          <w:shd w:val="clear" w:color="auto" w:fill="FFFFFF"/>
        </w:rPr>
        <w:t xml:space="preserve"> del 17 de abril de 2018</w:t>
      </w:r>
      <w:r w:rsidR="005E1334">
        <w:rPr>
          <w:rFonts w:cs="Times New Roman"/>
          <w:shd w:val="clear" w:color="auto" w:fill="FFFFFF"/>
        </w:rPr>
        <w:t xml:space="preserve"> con relación a la remitida en respuesta al </w:t>
      </w:r>
      <w:r w:rsidR="005E1334" w:rsidRPr="005E1334">
        <w:rPr>
          <w:rFonts w:cs="Times New Roman"/>
          <w:b/>
          <w:shd w:val="clear" w:color="auto" w:fill="FFFFFF"/>
        </w:rPr>
        <w:t>Auto 737 de 2017</w:t>
      </w:r>
      <w:r w:rsidR="005E1334">
        <w:rPr>
          <w:rFonts w:cs="Times New Roman"/>
          <w:shd w:val="clear" w:color="auto" w:fill="FFFFFF"/>
        </w:rPr>
        <w:t xml:space="preserve"> en mayo de 2018</w:t>
      </w:r>
      <w:r w:rsidR="005E1334">
        <w:rPr>
          <w:rStyle w:val="Refdenotaalpie"/>
          <w:rFonts w:cs="Times New Roman"/>
          <w:shd w:val="clear" w:color="auto" w:fill="FFFFFF"/>
        </w:rPr>
        <w:footnoteReference w:id="19"/>
      </w:r>
      <w:r w:rsidR="005E1334">
        <w:rPr>
          <w:rFonts w:cs="Times New Roman"/>
          <w:shd w:val="clear" w:color="auto" w:fill="FFFFFF"/>
        </w:rPr>
        <w:t>; (ii) cuál es la diferencia entre los casos sin información presentados por cada sistema (33 por Ley 600, 3 por Ley 906 y 5 por Ley 975) y los 5 casos sin información de procedimiento; (iii) cuál es la situación de los casos que se reportan por fuera del marco de la Ley 975.</w:t>
      </w:r>
    </w:p>
    <w:p w14:paraId="221D67FC" w14:textId="77777777" w:rsidR="00484702" w:rsidRDefault="00484702" w:rsidP="00E04B30">
      <w:pPr>
        <w:ind w:left="568"/>
      </w:pPr>
    </w:p>
    <w:p w14:paraId="4CF66B1F" w14:textId="3AB4ADB0" w:rsidR="005E5204" w:rsidRDefault="00262BC4" w:rsidP="00BB64EF">
      <w:pPr>
        <w:pStyle w:val="Prrafodelista"/>
        <w:tabs>
          <w:tab w:val="left" w:pos="567"/>
        </w:tabs>
        <w:ind w:left="0"/>
        <w:rPr>
          <w:b/>
          <w:i/>
        </w:rPr>
      </w:pPr>
      <w:r>
        <w:rPr>
          <w:b/>
          <w:i/>
        </w:rPr>
        <w:t>Respuesta de la Procuraduría General de la República</w:t>
      </w:r>
      <w:r w:rsidR="003279AD">
        <w:rPr>
          <w:b/>
          <w:i/>
        </w:rPr>
        <w:t xml:space="preserve"> al Auto 737 de 2017</w:t>
      </w:r>
    </w:p>
    <w:p w14:paraId="5F362F20" w14:textId="77777777" w:rsidR="00AF0929" w:rsidRDefault="00AF0929" w:rsidP="003322E7"/>
    <w:p w14:paraId="2460356B" w14:textId="58CE8443" w:rsidR="008D75F7" w:rsidRDefault="008D75F7" w:rsidP="003A7DB8">
      <w:pPr>
        <w:pStyle w:val="Prrafodelista"/>
        <w:numPr>
          <w:ilvl w:val="0"/>
          <w:numId w:val="28"/>
        </w:numPr>
        <w:ind w:left="0" w:firstLine="0"/>
      </w:pPr>
      <w:r>
        <w:t xml:space="preserve">En </w:t>
      </w:r>
      <w:r w:rsidR="000044CD">
        <w:t xml:space="preserve">la respuesta al </w:t>
      </w:r>
      <w:r w:rsidR="000044CD" w:rsidRPr="00CE20BF">
        <w:rPr>
          <w:b/>
        </w:rPr>
        <w:t>Auto 737 de 2017</w:t>
      </w:r>
      <w:r>
        <w:t xml:space="preserve"> la Procuraduría </w:t>
      </w:r>
      <w:r w:rsidR="00CE2F15">
        <w:t>sostuvo que su</w:t>
      </w:r>
      <w:r>
        <w:t xml:space="preserve"> estrategia jurídica</w:t>
      </w:r>
      <w:r w:rsidR="00CE2F15">
        <w:t>,</w:t>
      </w:r>
      <w:r>
        <w:t xml:space="preserve"> en relación con los </w:t>
      </w:r>
      <w:r w:rsidR="00CE2F15">
        <w:t xml:space="preserve">casos de los </w:t>
      </w:r>
      <w:r>
        <w:t xml:space="preserve">anexos reservados de los </w:t>
      </w:r>
      <w:r w:rsidRPr="00CE20BF">
        <w:rPr>
          <w:b/>
        </w:rPr>
        <w:t>Autos 092 de 2008 y 009 de 2015</w:t>
      </w:r>
      <w:r>
        <w:t xml:space="preserve"> </w:t>
      </w:r>
      <w:r w:rsidR="00C871C9">
        <w:t>estaba contenida en las Direct</w:t>
      </w:r>
      <w:r>
        <w:t>iva</w:t>
      </w:r>
      <w:r w:rsidR="00C871C9">
        <w:t>s</w:t>
      </w:r>
      <w:r>
        <w:t xml:space="preserve"> 006 del 11 de mayo de 2011, 006 del 13 de noviembre de 2012 y </w:t>
      </w:r>
      <w:r w:rsidR="00C871C9">
        <w:t>005 de 14 de septiembre de 2015, las cuales contienen</w:t>
      </w:r>
      <w:r>
        <w:t xml:space="preserve"> directrices para la intervención de la entidad en casos de violencia sexual en el marco del conflicto armado</w:t>
      </w:r>
      <w:r w:rsidR="00BA557B">
        <w:rPr>
          <w:rStyle w:val="Refdenotaalpie"/>
        </w:rPr>
        <w:footnoteReference w:id="20"/>
      </w:r>
      <w:r>
        <w:t xml:space="preserve">. </w:t>
      </w:r>
    </w:p>
    <w:p w14:paraId="1DCBC335" w14:textId="77777777" w:rsidR="00C871C9" w:rsidRDefault="00C871C9" w:rsidP="008D75F7"/>
    <w:p w14:paraId="19EE122E" w14:textId="71142A14" w:rsidR="008D75F7" w:rsidRDefault="007A231A" w:rsidP="008D75F7">
      <w:r>
        <w:t xml:space="preserve">También señaló que </w:t>
      </w:r>
      <w:r w:rsidR="00D97295">
        <w:t xml:space="preserve">ejerce vigilancia estricta a los procesos adelantados por los casos de los anexos reservados </w:t>
      </w:r>
      <w:r w:rsidR="00A14C60">
        <w:t xml:space="preserve">a través del </w:t>
      </w:r>
      <w:r w:rsidR="008D75F7">
        <w:t xml:space="preserve">seguimiento permanente a las actuaciones de los procuradores judiciales penales </w:t>
      </w:r>
      <w:r w:rsidR="00A14C60">
        <w:t>que intervienen en dichos procesos</w:t>
      </w:r>
      <w:r w:rsidR="008D75F7">
        <w:t xml:space="preserve">. </w:t>
      </w:r>
      <w:r w:rsidR="00A14C60">
        <w:t xml:space="preserve">Mencionó que la entidad </w:t>
      </w:r>
      <w:r w:rsidR="008D75F7">
        <w:t xml:space="preserve">hace seguimiento al Sistema de Información Misional (SIM) </w:t>
      </w:r>
      <w:r w:rsidR="002F180D">
        <w:t>en el que se encuentran</w:t>
      </w:r>
      <w:r w:rsidR="008D75F7">
        <w:t xml:space="preserve"> los casos de los anexos reservados que cuentan con agencia especial, </w:t>
      </w:r>
      <w:r w:rsidR="005D13C9">
        <w:t>y que</w:t>
      </w:r>
      <w:r w:rsidR="008D75F7">
        <w:t xml:space="preserve"> los procuradores judiciales deben evaluar mensualmente los avances de los procesos e</w:t>
      </w:r>
      <w:r w:rsidR="005D13C9">
        <w:t>n cuestión y emitir un informe.</w:t>
      </w:r>
      <w:r w:rsidR="008D75F7">
        <w:t xml:space="preserve"> </w:t>
      </w:r>
    </w:p>
    <w:p w14:paraId="1AF41395" w14:textId="77777777" w:rsidR="00A14C60" w:rsidRDefault="00A14C60" w:rsidP="008D75F7"/>
    <w:p w14:paraId="0E98CE6B" w14:textId="77777777" w:rsidR="004F3A50" w:rsidRDefault="008D75F7" w:rsidP="008D75F7">
      <w:r>
        <w:t xml:space="preserve">En relación con el talento humano dispuesto para ejercer la vigilancia estricta de los procesos penales referidos, el documento afirmó que </w:t>
      </w:r>
      <w:r w:rsidRPr="001627A0">
        <w:rPr>
          <w:i/>
        </w:rPr>
        <w:t xml:space="preserve">“de los 360 </w:t>
      </w:r>
      <w:r w:rsidRPr="001627A0">
        <w:rPr>
          <w:i/>
        </w:rPr>
        <w:lastRenderedPageBreak/>
        <w:t>procuradores judiciales, adscritos a la Procuraduría Delegada, 67 procuradores tienen a cargo los casos de los anexos reservados que cuentan con a</w:t>
      </w:r>
      <w:r>
        <w:rPr>
          <w:i/>
        </w:rPr>
        <w:t>gencia especial”</w:t>
      </w:r>
      <w:r>
        <w:rPr>
          <w:rStyle w:val="Refdenotaalpie"/>
          <w:i/>
        </w:rPr>
        <w:footnoteReference w:id="21"/>
      </w:r>
      <w:r w:rsidR="005D13C9">
        <w:rPr>
          <w:i/>
        </w:rPr>
        <w:t>.</w:t>
      </w:r>
      <w:r>
        <w:t xml:space="preserve"> </w:t>
      </w:r>
    </w:p>
    <w:p w14:paraId="2F03E335" w14:textId="77777777" w:rsidR="004F3A50" w:rsidRDefault="004F3A50" w:rsidP="008D75F7"/>
    <w:p w14:paraId="5D3C2D0D" w14:textId="61081786" w:rsidR="008D75F7" w:rsidRDefault="008D75F7" w:rsidP="003A7DB8">
      <w:pPr>
        <w:pStyle w:val="Prrafodelista"/>
        <w:numPr>
          <w:ilvl w:val="0"/>
          <w:numId w:val="28"/>
        </w:numPr>
        <w:ind w:left="0" w:firstLine="0"/>
      </w:pPr>
      <w:r>
        <w:t xml:space="preserve">De igual manera, </w:t>
      </w:r>
      <w:r w:rsidR="00575832">
        <w:t>mencionó que</w:t>
      </w:r>
      <w:r>
        <w:t xml:space="preserve"> </w:t>
      </w:r>
      <w:r w:rsidR="005423D8">
        <w:t xml:space="preserve">la entidad </w:t>
      </w:r>
      <w:r>
        <w:t xml:space="preserve">elaboró </w:t>
      </w:r>
      <w:r w:rsidR="005E1926">
        <w:t>seis</w:t>
      </w:r>
      <w:r>
        <w:t xml:space="preserve"> indicadores d</w:t>
      </w:r>
      <w:r w:rsidR="00575832">
        <w:t>e cumplimiento para desplegar su</w:t>
      </w:r>
      <w:r>
        <w:t xml:space="preserve"> labor de vigilancia y que la línea base de los mismos se tendría pa</w:t>
      </w:r>
      <w:r w:rsidR="00017A96">
        <w:t xml:space="preserve">ra el segundo semestre de 2018, razón por la cual se </w:t>
      </w:r>
      <w:r w:rsidR="00046FE1">
        <w:t xml:space="preserve">le </w:t>
      </w:r>
      <w:r w:rsidR="00017A96">
        <w:t>solicitará información s</w:t>
      </w:r>
      <w:r w:rsidR="00046FE1">
        <w:t>obre los avances en la materia.</w:t>
      </w:r>
    </w:p>
    <w:p w14:paraId="2D9F327C" w14:textId="77777777" w:rsidR="005D13C9" w:rsidRPr="00017A96" w:rsidRDefault="005D13C9" w:rsidP="008D75F7">
      <w:pPr>
        <w:rPr>
          <w:b/>
        </w:rPr>
      </w:pPr>
    </w:p>
    <w:p w14:paraId="289805EE" w14:textId="578EEC53" w:rsidR="00017A96" w:rsidRPr="00017A96" w:rsidRDefault="00017A96" w:rsidP="008D75F7">
      <w:pPr>
        <w:rPr>
          <w:b/>
        </w:rPr>
      </w:pPr>
      <w:r w:rsidRPr="00017A96">
        <w:rPr>
          <w:b/>
        </w:rPr>
        <w:t>Tabla 4. Indicadores de la Procuraduría General de la Nación</w:t>
      </w:r>
      <w:r w:rsidR="00885BD6">
        <w:rPr>
          <w:rStyle w:val="Refdenotaalpie"/>
          <w:b/>
        </w:rPr>
        <w:footnoteReference w:id="22"/>
      </w:r>
      <w:r w:rsidRPr="00017A96">
        <w:rPr>
          <w:b/>
        </w:rPr>
        <w:t xml:space="preserve"> </w:t>
      </w:r>
    </w:p>
    <w:p w14:paraId="6B2852C0" w14:textId="77777777" w:rsidR="00017A96" w:rsidRDefault="00017A96" w:rsidP="008D75F7"/>
    <w:tbl>
      <w:tblPr>
        <w:tblStyle w:val="Tablaconcuadrcula"/>
        <w:tblW w:w="0" w:type="auto"/>
        <w:jc w:val="center"/>
        <w:tblLook w:val="04A0" w:firstRow="1" w:lastRow="0" w:firstColumn="1" w:lastColumn="0" w:noHBand="0" w:noVBand="1"/>
      </w:tblPr>
      <w:tblGrid>
        <w:gridCol w:w="2122"/>
        <w:gridCol w:w="6238"/>
      </w:tblGrid>
      <w:tr w:rsidR="0076078C" w:rsidRPr="00046FE1" w14:paraId="6ED8D3F0" w14:textId="77777777" w:rsidTr="0076078C">
        <w:trPr>
          <w:jc w:val="center"/>
        </w:trPr>
        <w:tc>
          <w:tcPr>
            <w:tcW w:w="2122" w:type="dxa"/>
            <w:shd w:val="clear" w:color="auto" w:fill="A6A6A6" w:themeFill="background1" w:themeFillShade="A6"/>
          </w:tcPr>
          <w:p w14:paraId="68992A5B" w14:textId="77777777" w:rsidR="008D75F7" w:rsidRPr="00046FE1" w:rsidRDefault="008D75F7" w:rsidP="00827AF0">
            <w:pPr>
              <w:jc w:val="center"/>
              <w:rPr>
                <w:b/>
                <w:sz w:val="24"/>
              </w:rPr>
            </w:pPr>
            <w:r w:rsidRPr="00046FE1">
              <w:rPr>
                <w:b/>
                <w:sz w:val="24"/>
              </w:rPr>
              <w:t>CÓDIGO INDICADOR</w:t>
            </w:r>
          </w:p>
        </w:tc>
        <w:tc>
          <w:tcPr>
            <w:tcW w:w="6238" w:type="dxa"/>
            <w:shd w:val="clear" w:color="auto" w:fill="A6A6A6" w:themeFill="background1" w:themeFillShade="A6"/>
          </w:tcPr>
          <w:p w14:paraId="56FACEB5" w14:textId="77777777" w:rsidR="008D75F7" w:rsidRPr="00046FE1" w:rsidRDefault="008D75F7" w:rsidP="00827AF0">
            <w:pPr>
              <w:jc w:val="center"/>
              <w:rPr>
                <w:b/>
                <w:sz w:val="24"/>
              </w:rPr>
            </w:pPr>
            <w:r w:rsidRPr="00046FE1">
              <w:rPr>
                <w:b/>
                <w:sz w:val="24"/>
              </w:rPr>
              <w:t>NOMBRE DEL INDICADOR</w:t>
            </w:r>
          </w:p>
        </w:tc>
      </w:tr>
      <w:tr w:rsidR="008D75F7" w:rsidRPr="00046FE1" w14:paraId="5C2A3554" w14:textId="77777777" w:rsidTr="00046FE1">
        <w:trPr>
          <w:jc w:val="center"/>
        </w:trPr>
        <w:tc>
          <w:tcPr>
            <w:tcW w:w="2122" w:type="dxa"/>
          </w:tcPr>
          <w:p w14:paraId="0F478465" w14:textId="77777777" w:rsidR="008D75F7" w:rsidRPr="00046FE1" w:rsidRDefault="008D75F7" w:rsidP="00827AF0">
            <w:pPr>
              <w:jc w:val="center"/>
              <w:rPr>
                <w:b/>
                <w:sz w:val="24"/>
              </w:rPr>
            </w:pPr>
            <w:r w:rsidRPr="00046FE1">
              <w:rPr>
                <w:b/>
                <w:sz w:val="24"/>
              </w:rPr>
              <w:t>01</w:t>
            </w:r>
          </w:p>
        </w:tc>
        <w:tc>
          <w:tcPr>
            <w:tcW w:w="6238" w:type="dxa"/>
          </w:tcPr>
          <w:p w14:paraId="45AEC0E0" w14:textId="77777777" w:rsidR="008D75F7" w:rsidRPr="00046FE1" w:rsidRDefault="008D75F7" w:rsidP="00046FE1">
            <w:pPr>
              <w:rPr>
                <w:sz w:val="24"/>
              </w:rPr>
            </w:pPr>
            <w:r w:rsidRPr="00046FE1">
              <w:rPr>
                <w:sz w:val="24"/>
              </w:rPr>
              <w:t>Casos de violencia sexual en etapa de indagación previa</w:t>
            </w:r>
          </w:p>
        </w:tc>
      </w:tr>
      <w:tr w:rsidR="008D75F7" w:rsidRPr="00046FE1" w14:paraId="7F564A69" w14:textId="77777777" w:rsidTr="0076078C">
        <w:trPr>
          <w:trHeight w:val="577"/>
          <w:jc w:val="center"/>
        </w:trPr>
        <w:tc>
          <w:tcPr>
            <w:tcW w:w="2122" w:type="dxa"/>
          </w:tcPr>
          <w:p w14:paraId="5A4CBD31" w14:textId="77777777" w:rsidR="008D75F7" w:rsidRPr="00046FE1" w:rsidRDefault="008D75F7" w:rsidP="00827AF0">
            <w:pPr>
              <w:jc w:val="center"/>
              <w:rPr>
                <w:b/>
                <w:sz w:val="24"/>
              </w:rPr>
            </w:pPr>
            <w:r w:rsidRPr="00046FE1">
              <w:rPr>
                <w:b/>
                <w:sz w:val="24"/>
              </w:rPr>
              <w:t>02</w:t>
            </w:r>
          </w:p>
        </w:tc>
        <w:tc>
          <w:tcPr>
            <w:tcW w:w="6238" w:type="dxa"/>
          </w:tcPr>
          <w:p w14:paraId="4D02ED4C" w14:textId="77777777" w:rsidR="008D75F7" w:rsidRPr="00046FE1" w:rsidRDefault="008D75F7" w:rsidP="00046FE1">
            <w:pPr>
              <w:rPr>
                <w:sz w:val="24"/>
              </w:rPr>
            </w:pPr>
            <w:r w:rsidRPr="00046FE1">
              <w:rPr>
                <w:sz w:val="24"/>
              </w:rPr>
              <w:t>Casos de violencia sexual con resolución de apertura de</w:t>
            </w:r>
          </w:p>
          <w:p w14:paraId="0456570D" w14:textId="77777777" w:rsidR="008D75F7" w:rsidRPr="00046FE1" w:rsidRDefault="008D75F7" w:rsidP="00046FE1">
            <w:pPr>
              <w:rPr>
                <w:sz w:val="24"/>
              </w:rPr>
            </w:pPr>
            <w:r w:rsidRPr="00046FE1">
              <w:rPr>
                <w:sz w:val="24"/>
              </w:rPr>
              <w:t>investigación y formulación de la imputación</w:t>
            </w:r>
          </w:p>
        </w:tc>
      </w:tr>
      <w:tr w:rsidR="008D75F7" w:rsidRPr="00046FE1" w14:paraId="6F68F29C" w14:textId="77777777" w:rsidTr="00046FE1">
        <w:trPr>
          <w:jc w:val="center"/>
        </w:trPr>
        <w:tc>
          <w:tcPr>
            <w:tcW w:w="2122" w:type="dxa"/>
          </w:tcPr>
          <w:p w14:paraId="2C71A34B" w14:textId="77777777" w:rsidR="008D75F7" w:rsidRPr="00046FE1" w:rsidRDefault="008D75F7" w:rsidP="00827AF0">
            <w:pPr>
              <w:jc w:val="center"/>
              <w:rPr>
                <w:b/>
                <w:sz w:val="24"/>
              </w:rPr>
            </w:pPr>
            <w:r w:rsidRPr="00046FE1">
              <w:rPr>
                <w:b/>
                <w:sz w:val="24"/>
              </w:rPr>
              <w:t>03</w:t>
            </w:r>
          </w:p>
        </w:tc>
        <w:tc>
          <w:tcPr>
            <w:tcW w:w="6238" w:type="dxa"/>
          </w:tcPr>
          <w:p w14:paraId="1E92458C" w14:textId="77777777" w:rsidR="008D75F7" w:rsidRPr="00046FE1" w:rsidRDefault="008D75F7" w:rsidP="00046FE1">
            <w:pPr>
              <w:rPr>
                <w:sz w:val="24"/>
              </w:rPr>
            </w:pPr>
            <w:r w:rsidRPr="00046FE1">
              <w:rPr>
                <w:sz w:val="24"/>
              </w:rPr>
              <w:t>Casos de violencia sexual con formulación o resolución de</w:t>
            </w:r>
          </w:p>
          <w:p w14:paraId="6C82C268" w14:textId="77777777" w:rsidR="008D75F7" w:rsidRPr="00046FE1" w:rsidRDefault="008D75F7" w:rsidP="00046FE1">
            <w:pPr>
              <w:rPr>
                <w:sz w:val="24"/>
              </w:rPr>
            </w:pPr>
            <w:r w:rsidRPr="00046FE1">
              <w:rPr>
                <w:sz w:val="24"/>
              </w:rPr>
              <w:t>acusación</w:t>
            </w:r>
          </w:p>
        </w:tc>
      </w:tr>
      <w:tr w:rsidR="008D75F7" w:rsidRPr="00046FE1" w14:paraId="75D9E5CC" w14:textId="77777777" w:rsidTr="00046FE1">
        <w:trPr>
          <w:jc w:val="center"/>
        </w:trPr>
        <w:tc>
          <w:tcPr>
            <w:tcW w:w="2122" w:type="dxa"/>
          </w:tcPr>
          <w:p w14:paraId="28303AFE" w14:textId="77777777" w:rsidR="008D75F7" w:rsidRPr="00046FE1" w:rsidRDefault="008D75F7" w:rsidP="00827AF0">
            <w:pPr>
              <w:jc w:val="center"/>
              <w:rPr>
                <w:b/>
                <w:sz w:val="24"/>
              </w:rPr>
            </w:pPr>
            <w:r w:rsidRPr="00046FE1">
              <w:rPr>
                <w:b/>
                <w:sz w:val="24"/>
              </w:rPr>
              <w:t>04</w:t>
            </w:r>
          </w:p>
        </w:tc>
        <w:tc>
          <w:tcPr>
            <w:tcW w:w="6238" w:type="dxa"/>
          </w:tcPr>
          <w:p w14:paraId="5D53E08A" w14:textId="77777777" w:rsidR="008D75F7" w:rsidRPr="00046FE1" w:rsidRDefault="008D75F7" w:rsidP="00046FE1">
            <w:pPr>
              <w:rPr>
                <w:sz w:val="24"/>
              </w:rPr>
            </w:pPr>
            <w:r w:rsidRPr="00046FE1">
              <w:rPr>
                <w:sz w:val="24"/>
              </w:rPr>
              <w:t>Avance en el esclarecimiento de los casos de violencia sexual</w:t>
            </w:r>
          </w:p>
        </w:tc>
      </w:tr>
      <w:tr w:rsidR="008D75F7" w:rsidRPr="00046FE1" w14:paraId="5F421574" w14:textId="77777777" w:rsidTr="00046FE1">
        <w:trPr>
          <w:jc w:val="center"/>
        </w:trPr>
        <w:tc>
          <w:tcPr>
            <w:tcW w:w="2122" w:type="dxa"/>
          </w:tcPr>
          <w:p w14:paraId="4351B0E1" w14:textId="77777777" w:rsidR="008D75F7" w:rsidRPr="00046FE1" w:rsidRDefault="008D75F7" w:rsidP="00827AF0">
            <w:pPr>
              <w:jc w:val="center"/>
              <w:rPr>
                <w:b/>
                <w:sz w:val="24"/>
              </w:rPr>
            </w:pPr>
            <w:r w:rsidRPr="00046FE1">
              <w:rPr>
                <w:b/>
                <w:sz w:val="24"/>
              </w:rPr>
              <w:t>05</w:t>
            </w:r>
          </w:p>
        </w:tc>
        <w:tc>
          <w:tcPr>
            <w:tcW w:w="6238" w:type="dxa"/>
          </w:tcPr>
          <w:p w14:paraId="2FFB85A0" w14:textId="77777777" w:rsidR="008D75F7" w:rsidRPr="00046FE1" w:rsidRDefault="008D75F7" w:rsidP="00046FE1">
            <w:pPr>
              <w:rPr>
                <w:sz w:val="24"/>
              </w:rPr>
            </w:pPr>
            <w:r w:rsidRPr="00046FE1">
              <w:rPr>
                <w:sz w:val="24"/>
              </w:rPr>
              <w:t>Severidad sancionatoria en casos de violencia sexual</w:t>
            </w:r>
          </w:p>
        </w:tc>
      </w:tr>
      <w:tr w:rsidR="008D75F7" w:rsidRPr="00046FE1" w14:paraId="6885B7F7" w14:textId="77777777" w:rsidTr="00046FE1">
        <w:trPr>
          <w:jc w:val="center"/>
        </w:trPr>
        <w:tc>
          <w:tcPr>
            <w:tcW w:w="2122" w:type="dxa"/>
          </w:tcPr>
          <w:p w14:paraId="053DE42D" w14:textId="77777777" w:rsidR="008D75F7" w:rsidRPr="00046FE1" w:rsidRDefault="008D75F7" w:rsidP="00827AF0">
            <w:pPr>
              <w:jc w:val="center"/>
              <w:rPr>
                <w:b/>
                <w:sz w:val="24"/>
              </w:rPr>
            </w:pPr>
            <w:r w:rsidRPr="00046FE1">
              <w:rPr>
                <w:b/>
                <w:sz w:val="24"/>
              </w:rPr>
              <w:t>06</w:t>
            </w:r>
          </w:p>
        </w:tc>
        <w:tc>
          <w:tcPr>
            <w:tcW w:w="6238" w:type="dxa"/>
          </w:tcPr>
          <w:p w14:paraId="32674E71" w14:textId="77777777" w:rsidR="008D75F7" w:rsidRPr="00046FE1" w:rsidRDefault="008D75F7" w:rsidP="00046FE1">
            <w:pPr>
              <w:rPr>
                <w:sz w:val="24"/>
              </w:rPr>
            </w:pPr>
            <w:r w:rsidRPr="00046FE1">
              <w:rPr>
                <w:sz w:val="24"/>
              </w:rPr>
              <w:t>Casos de violencia sexual confesados en la jurisdicción d</w:t>
            </w:r>
          </w:p>
          <w:p w14:paraId="40391274" w14:textId="77777777" w:rsidR="008D75F7" w:rsidRPr="00046FE1" w:rsidRDefault="008D75F7" w:rsidP="00046FE1">
            <w:pPr>
              <w:rPr>
                <w:sz w:val="24"/>
              </w:rPr>
            </w:pPr>
            <w:r w:rsidRPr="00046FE1">
              <w:rPr>
                <w:sz w:val="24"/>
              </w:rPr>
              <w:t>Justicia y Paz</w:t>
            </w:r>
          </w:p>
        </w:tc>
      </w:tr>
    </w:tbl>
    <w:p w14:paraId="6CEF7809" w14:textId="77777777" w:rsidR="008D75F7" w:rsidRDefault="008D75F7" w:rsidP="008D75F7"/>
    <w:p w14:paraId="5A4EE3A7" w14:textId="00E9A38C" w:rsidR="008D75F7" w:rsidRDefault="0014504F" w:rsidP="003A7DB8">
      <w:pPr>
        <w:pStyle w:val="Prrafodelista"/>
        <w:numPr>
          <w:ilvl w:val="0"/>
          <w:numId w:val="28"/>
        </w:numPr>
        <w:ind w:left="0" w:firstLine="0"/>
      </w:pPr>
      <w:r>
        <w:t>La</w:t>
      </w:r>
      <w:r w:rsidR="008D75F7">
        <w:t xml:space="preserve"> </w:t>
      </w:r>
      <w:r w:rsidR="00C502AB">
        <w:t>Procuraduría</w:t>
      </w:r>
      <w:r>
        <w:t>, además,</w:t>
      </w:r>
      <w:r w:rsidR="00C502AB">
        <w:t xml:space="preserve"> </w:t>
      </w:r>
      <w:r w:rsidR="008D75F7">
        <w:t xml:space="preserve">informó sobre el estado procesal de los casos de los anexos reservados que cuentan con agencia especial, </w:t>
      </w:r>
      <w:r w:rsidR="00414892">
        <w:t>y determinó que</w:t>
      </w:r>
      <w:r w:rsidR="008D75F7">
        <w:t xml:space="preserve"> son 166 en total,</w:t>
      </w:r>
      <w:r w:rsidR="00414892">
        <w:t xml:space="preserve"> 36 del </w:t>
      </w:r>
      <w:r w:rsidR="00414892" w:rsidRPr="003E1151">
        <w:rPr>
          <w:b/>
        </w:rPr>
        <w:t xml:space="preserve">Auto 092 de 2008 </w:t>
      </w:r>
      <w:r w:rsidR="00414892" w:rsidRPr="00414892">
        <w:t>y</w:t>
      </w:r>
      <w:r w:rsidR="008D75F7">
        <w:t xml:space="preserve"> 130 del </w:t>
      </w:r>
      <w:r w:rsidR="008D75F7" w:rsidRPr="003E1151">
        <w:rPr>
          <w:b/>
        </w:rPr>
        <w:t>Auto 009 de 2015.</w:t>
      </w:r>
      <w:r w:rsidR="008D75F7">
        <w:t xml:space="preserve"> </w:t>
      </w:r>
      <w:r w:rsidR="00FA051F">
        <w:t>E</w:t>
      </w:r>
      <w:r w:rsidR="00F779D8">
        <w:t>l ente de control informó</w:t>
      </w:r>
      <w:r w:rsidR="00FA051F">
        <w:t xml:space="preserve"> el</w:t>
      </w:r>
      <w:r w:rsidR="00F779D8">
        <w:t xml:space="preserve"> estado</w:t>
      </w:r>
      <w:r w:rsidR="00FA051F">
        <w:t xml:space="preserve"> procesal de cada uno de esos 166 casos. Al ser analizada tal información se obtienen los datos agregados</w:t>
      </w:r>
      <w:r w:rsidR="003E1151">
        <w:t xml:space="preserve"> contenidos en la tabla 5.</w:t>
      </w:r>
    </w:p>
    <w:p w14:paraId="1C477AD5" w14:textId="77777777" w:rsidR="00F779D8" w:rsidRDefault="00F779D8" w:rsidP="008D75F7"/>
    <w:p w14:paraId="051EC79F" w14:textId="0259B61E" w:rsidR="00F779D8" w:rsidRPr="0014504F" w:rsidRDefault="00F779D8" w:rsidP="008D75F7">
      <w:pPr>
        <w:rPr>
          <w:b/>
        </w:rPr>
      </w:pPr>
      <w:r w:rsidRPr="0014504F">
        <w:rPr>
          <w:b/>
        </w:rPr>
        <w:t xml:space="preserve">Tabla 5. </w:t>
      </w:r>
      <w:r w:rsidR="00414892">
        <w:rPr>
          <w:b/>
        </w:rPr>
        <w:t xml:space="preserve">Estado procesal de los </w:t>
      </w:r>
      <w:r w:rsidR="00BD0AAF">
        <w:rPr>
          <w:b/>
        </w:rPr>
        <w:t xml:space="preserve">casos </w:t>
      </w:r>
      <w:r w:rsidR="0076078C">
        <w:rPr>
          <w:b/>
        </w:rPr>
        <w:t xml:space="preserve">de los anexos reservados </w:t>
      </w:r>
      <w:r w:rsidR="00BD0AAF">
        <w:rPr>
          <w:b/>
        </w:rPr>
        <w:t xml:space="preserve">con agencia especial </w:t>
      </w:r>
      <w:r w:rsidR="0076078C">
        <w:rPr>
          <w:b/>
        </w:rPr>
        <w:t>de la Procuraduría General de la Nación</w:t>
      </w:r>
    </w:p>
    <w:p w14:paraId="08DCE247" w14:textId="77777777" w:rsidR="00F779D8" w:rsidRDefault="00F779D8" w:rsidP="008D75F7"/>
    <w:tbl>
      <w:tblPr>
        <w:tblStyle w:val="Tablaconcuadrcula"/>
        <w:tblW w:w="5714" w:type="dxa"/>
        <w:jc w:val="center"/>
        <w:tblLook w:val="04A0" w:firstRow="1" w:lastRow="0" w:firstColumn="1" w:lastColumn="0" w:noHBand="0" w:noVBand="1"/>
      </w:tblPr>
      <w:tblGrid>
        <w:gridCol w:w="4415"/>
        <w:gridCol w:w="1299"/>
      </w:tblGrid>
      <w:tr w:rsidR="00363D42" w:rsidRPr="0076078C" w14:paraId="1A002405" w14:textId="77777777" w:rsidTr="00363D42">
        <w:trPr>
          <w:jc w:val="center"/>
        </w:trPr>
        <w:tc>
          <w:tcPr>
            <w:tcW w:w="5714" w:type="dxa"/>
            <w:gridSpan w:val="2"/>
            <w:shd w:val="clear" w:color="auto" w:fill="A6A6A6" w:themeFill="background1" w:themeFillShade="A6"/>
          </w:tcPr>
          <w:p w14:paraId="1F8059C2" w14:textId="77777777" w:rsidR="008D75F7" w:rsidRPr="0076078C" w:rsidRDefault="008D75F7" w:rsidP="00827AF0">
            <w:pPr>
              <w:tabs>
                <w:tab w:val="left" w:pos="3780"/>
              </w:tabs>
              <w:jc w:val="center"/>
              <w:rPr>
                <w:b/>
                <w:sz w:val="24"/>
                <w:szCs w:val="24"/>
              </w:rPr>
            </w:pPr>
            <w:r w:rsidRPr="0076078C">
              <w:rPr>
                <w:b/>
                <w:sz w:val="24"/>
                <w:szCs w:val="24"/>
              </w:rPr>
              <w:t>Auto 092 de 2008</w:t>
            </w:r>
          </w:p>
        </w:tc>
      </w:tr>
      <w:tr w:rsidR="00363D42" w:rsidRPr="0076078C" w14:paraId="236A4AE7" w14:textId="77777777" w:rsidTr="00363D42">
        <w:trPr>
          <w:jc w:val="center"/>
        </w:trPr>
        <w:tc>
          <w:tcPr>
            <w:tcW w:w="4415" w:type="dxa"/>
          </w:tcPr>
          <w:p w14:paraId="1272A4AB" w14:textId="77777777" w:rsidR="008D75F7" w:rsidRPr="0076078C" w:rsidRDefault="008D75F7" w:rsidP="00827AF0">
            <w:pPr>
              <w:rPr>
                <w:sz w:val="24"/>
                <w:szCs w:val="24"/>
              </w:rPr>
            </w:pPr>
            <w:r w:rsidRPr="0076078C">
              <w:rPr>
                <w:sz w:val="24"/>
                <w:szCs w:val="24"/>
              </w:rPr>
              <w:t>Archivo o decisión inhibitoria</w:t>
            </w:r>
          </w:p>
        </w:tc>
        <w:tc>
          <w:tcPr>
            <w:tcW w:w="1299" w:type="dxa"/>
          </w:tcPr>
          <w:p w14:paraId="5323E739" w14:textId="77777777" w:rsidR="008D75F7" w:rsidRPr="0076078C" w:rsidRDefault="008D75F7" w:rsidP="00363D42">
            <w:pPr>
              <w:jc w:val="center"/>
              <w:rPr>
                <w:sz w:val="24"/>
                <w:szCs w:val="24"/>
              </w:rPr>
            </w:pPr>
            <w:r w:rsidRPr="0076078C">
              <w:rPr>
                <w:sz w:val="24"/>
                <w:szCs w:val="24"/>
              </w:rPr>
              <w:t>1</w:t>
            </w:r>
          </w:p>
        </w:tc>
      </w:tr>
      <w:tr w:rsidR="00363D42" w:rsidRPr="0076078C" w14:paraId="694EBCC3" w14:textId="77777777" w:rsidTr="00363D42">
        <w:trPr>
          <w:jc w:val="center"/>
        </w:trPr>
        <w:tc>
          <w:tcPr>
            <w:tcW w:w="4415" w:type="dxa"/>
          </w:tcPr>
          <w:p w14:paraId="3FC8478D" w14:textId="77777777" w:rsidR="008D75F7" w:rsidRPr="0076078C" w:rsidRDefault="008D75F7" w:rsidP="00827AF0">
            <w:pPr>
              <w:rPr>
                <w:sz w:val="24"/>
                <w:szCs w:val="24"/>
              </w:rPr>
            </w:pPr>
            <w:r w:rsidRPr="0076078C">
              <w:rPr>
                <w:sz w:val="24"/>
                <w:szCs w:val="24"/>
              </w:rPr>
              <w:t>Preclusión</w:t>
            </w:r>
          </w:p>
        </w:tc>
        <w:tc>
          <w:tcPr>
            <w:tcW w:w="1299" w:type="dxa"/>
          </w:tcPr>
          <w:p w14:paraId="016DB894" w14:textId="77777777" w:rsidR="008D75F7" w:rsidRPr="0076078C" w:rsidRDefault="008D75F7" w:rsidP="00363D42">
            <w:pPr>
              <w:jc w:val="center"/>
              <w:rPr>
                <w:sz w:val="24"/>
                <w:szCs w:val="24"/>
              </w:rPr>
            </w:pPr>
            <w:r w:rsidRPr="0076078C">
              <w:rPr>
                <w:sz w:val="24"/>
                <w:szCs w:val="24"/>
              </w:rPr>
              <w:t>1</w:t>
            </w:r>
          </w:p>
        </w:tc>
      </w:tr>
      <w:tr w:rsidR="00363D42" w:rsidRPr="0076078C" w14:paraId="1843CF8F" w14:textId="77777777" w:rsidTr="00363D42">
        <w:trPr>
          <w:jc w:val="center"/>
        </w:trPr>
        <w:tc>
          <w:tcPr>
            <w:tcW w:w="4415" w:type="dxa"/>
          </w:tcPr>
          <w:p w14:paraId="0CAC6B1F" w14:textId="77777777" w:rsidR="008D75F7" w:rsidRPr="0076078C" w:rsidRDefault="008D75F7" w:rsidP="00827AF0">
            <w:pPr>
              <w:rPr>
                <w:sz w:val="24"/>
                <w:szCs w:val="24"/>
              </w:rPr>
            </w:pPr>
            <w:r w:rsidRPr="0076078C">
              <w:rPr>
                <w:sz w:val="24"/>
                <w:szCs w:val="24"/>
              </w:rPr>
              <w:t>Investigación previa o indagación</w:t>
            </w:r>
          </w:p>
        </w:tc>
        <w:tc>
          <w:tcPr>
            <w:tcW w:w="1299" w:type="dxa"/>
          </w:tcPr>
          <w:p w14:paraId="4D9640E1" w14:textId="77777777" w:rsidR="008D75F7" w:rsidRPr="0076078C" w:rsidRDefault="008D75F7" w:rsidP="00363D42">
            <w:pPr>
              <w:jc w:val="center"/>
              <w:rPr>
                <w:sz w:val="24"/>
                <w:szCs w:val="24"/>
              </w:rPr>
            </w:pPr>
            <w:r w:rsidRPr="0076078C">
              <w:rPr>
                <w:sz w:val="24"/>
                <w:szCs w:val="24"/>
              </w:rPr>
              <w:t>12</w:t>
            </w:r>
          </w:p>
        </w:tc>
      </w:tr>
      <w:tr w:rsidR="00363D42" w:rsidRPr="0076078C" w14:paraId="1F2B7E2B" w14:textId="77777777" w:rsidTr="00363D42">
        <w:trPr>
          <w:jc w:val="center"/>
        </w:trPr>
        <w:tc>
          <w:tcPr>
            <w:tcW w:w="4415" w:type="dxa"/>
          </w:tcPr>
          <w:p w14:paraId="7C7E4FED" w14:textId="77777777" w:rsidR="008D75F7" w:rsidRPr="0076078C" w:rsidRDefault="008D75F7" w:rsidP="00827AF0">
            <w:pPr>
              <w:rPr>
                <w:sz w:val="24"/>
                <w:szCs w:val="24"/>
              </w:rPr>
            </w:pPr>
            <w:r w:rsidRPr="0076078C">
              <w:rPr>
                <w:sz w:val="24"/>
                <w:szCs w:val="24"/>
              </w:rPr>
              <w:t xml:space="preserve">Investigación </w:t>
            </w:r>
          </w:p>
        </w:tc>
        <w:tc>
          <w:tcPr>
            <w:tcW w:w="1299" w:type="dxa"/>
          </w:tcPr>
          <w:p w14:paraId="14CD3308" w14:textId="77777777" w:rsidR="008D75F7" w:rsidRPr="0076078C" w:rsidRDefault="008D75F7" w:rsidP="00363D42">
            <w:pPr>
              <w:jc w:val="center"/>
              <w:rPr>
                <w:sz w:val="24"/>
                <w:szCs w:val="24"/>
              </w:rPr>
            </w:pPr>
            <w:r w:rsidRPr="0076078C">
              <w:rPr>
                <w:sz w:val="24"/>
                <w:szCs w:val="24"/>
              </w:rPr>
              <w:t>9</w:t>
            </w:r>
          </w:p>
        </w:tc>
      </w:tr>
      <w:tr w:rsidR="00363D42" w:rsidRPr="0076078C" w14:paraId="02071BF0" w14:textId="77777777" w:rsidTr="00363D42">
        <w:trPr>
          <w:jc w:val="center"/>
        </w:trPr>
        <w:tc>
          <w:tcPr>
            <w:tcW w:w="4415" w:type="dxa"/>
          </w:tcPr>
          <w:p w14:paraId="6293FD4D" w14:textId="77777777" w:rsidR="008D75F7" w:rsidRPr="0076078C" w:rsidRDefault="008D75F7" w:rsidP="00827AF0">
            <w:pPr>
              <w:rPr>
                <w:sz w:val="24"/>
                <w:szCs w:val="24"/>
              </w:rPr>
            </w:pPr>
            <w:r w:rsidRPr="0076078C">
              <w:rPr>
                <w:sz w:val="24"/>
                <w:szCs w:val="24"/>
              </w:rPr>
              <w:t>Instrucción</w:t>
            </w:r>
          </w:p>
        </w:tc>
        <w:tc>
          <w:tcPr>
            <w:tcW w:w="1299" w:type="dxa"/>
          </w:tcPr>
          <w:p w14:paraId="62697053" w14:textId="77777777" w:rsidR="008D75F7" w:rsidRPr="0076078C" w:rsidRDefault="008D75F7" w:rsidP="00363D42">
            <w:pPr>
              <w:jc w:val="center"/>
              <w:rPr>
                <w:sz w:val="24"/>
                <w:szCs w:val="24"/>
              </w:rPr>
            </w:pPr>
            <w:r w:rsidRPr="0076078C">
              <w:rPr>
                <w:sz w:val="24"/>
                <w:szCs w:val="24"/>
              </w:rPr>
              <w:t>6</w:t>
            </w:r>
          </w:p>
        </w:tc>
      </w:tr>
      <w:tr w:rsidR="00363D42" w:rsidRPr="0076078C" w14:paraId="1E02906B" w14:textId="77777777" w:rsidTr="00363D42">
        <w:trPr>
          <w:jc w:val="center"/>
        </w:trPr>
        <w:tc>
          <w:tcPr>
            <w:tcW w:w="4415" w:type="dxa"/>
          </w:tcPr>
          <w:p w14:paraId="65C77C5C" w14:textId="77777777" w:rsidR="008D75F7" w:rsidRPr="0076078C" w:rsidRDefault="008D75F7" w:rsidP="00827AF0">
            <w:pPr>
              <w:rPr>
                <w:sz w:val="24"/>
                <w:szCs w:val="24"/>
              </w:rPr>
            </w:pPr>
            <w:r w:rsidRPr="0076078C">
              <w:rPr>
                <w:sz w:val="24"/>
                <w:szCs w:val="24"/>
              </w:rPr>
              <w:t xml:space="preserve">Juicio </w:t>
            </w:r>
          </w:p>
        </w:tc>
        <w:tc>
          <w:tcPr>
            <w:tcW w:w="1299" w:type="dxa"/>
          </w:tcPr>
          <w:p w14:paraId="30FABBC7" w14:textId="77777777" w:rsidR="008D75F7" w:rsidRPr="0076078C" w:rsidRDefault="008D75F7" w:rsidP="00363D42">
            <w:pPr>
              <w:jc w:val="center"/>
              <w:rPr>
                <w:sz w:val="24"/>
                <w:szCs w:val="24"/>
              </w:rPr>
            </w:pPr>
            <w:r w:rsidRPr="0076078C">
              <w:rPr>
                <w:sz w:val="24"/>
                <w:szCs w:val="24"/>
              </w:rPr>
              <w:t>4</w:t>
            </w:r>
          </w:p>
        </w:tc>
      </w:tr>
      <w:tr w:rsidR="00363D42" w:rsidRPr="0076078C" w14:paraId="12D20646" w14:textId="77777777" w:rsidTr="00363D42">
        <w:trPr>
          <w:jc w:val="center"/>
        </w:trPr>
        <w:tc>
          <w:tcPr>
            <w:tcW w:w="4415" w:type="dxa"/>
          </w:tcPr>
          <w:p w14:paraId="636B2B84" w14:textId="77777777" w:rsidR="008D75F7" w:rsidRPr="0076078C" w:rsidRDefault="008D75F7" w:rsidP="00827AF0">
            <w:pPr>
              <w:rPr>
                <w:sz w:val="24"/>
                <w:szCs w:val="24"/>
              </w:rPr>
            </w:pPr>
            <w:r w:rsidRPr="0076078C">
              <w:rPr>
                <w:sz w:val="24"/>
                <w:szCs w:val="24"/>
              </w:rPr>
              <w:t>Sentencia</w:t>
            </w:r>
          </w:p>
        </w:tc>
        <w:tc>
          <w:tcPr>
            <w:tcW w:w="1299" w:type="dxa"/>
          </w:tcPr>
          <w:p w14:paraId="21714E35" w14:textId="77777777" w:rsidR="008D75F7" w:rsidRPr="0076078C" w:rsidRDefault="008D75F7" w:rsidP="00363D42">
            <w:pPr>
              <w:jc w:val="center"/>
              <w:rPr>
                <w:sz w:val="24"/>
                <w:szCs w:val="24"/>
              </w:rPr>
            </w:pPr>
            <w:r w:rsidRPr="0076078C">
              <w:rPr>
                <w:sz w:val="24"/>
                <w:szCs w:val="24"/>
              </w:rPr>
              <w:t>3</w:t>
            </w:r>
          </w:p>
        </w:tc>
      </w:tr>
      <w:tr w:rsidR="0076078C" w:rsidRPr="0076078C" w14:paraId="2832787B" w14:textId="77777777" w:rsidTr="00363D42">
        <w:trPr>
          <w:jc w:val="center"/>
        </w:trPr>
        <w:tc>
          <w:tcPr>
            <w:tcW w:w="4415" w:type="dxa"/>
            <w:shd w:val="clear" w:color="auto" w:fill="auto"/>
          </w:tcPr>
          <w:p w14:paraId="1E4755B1" w14:textId="77777777" w:rsidR="008D75F7" w:rsidRPr="0076078C" w:rsidRDefault="008D75F7" w:rsidP="00827AF0">
            <w:pPr>
              <w:rPr>
                <w:b/>
                <w:sz w:val="24"/>
                <w:szCs w:val="24"/>
              </w:rPr>
            </w:pPr>
            <w:r w:rsidRPr="0076078C">
              <w:rPr>
                <w:b/>
                <w:sz w:val="24"/>
                <w:szCs w:val="24"/>
              </w:rPr>
              <w:t xml:space="preserve">Total </w:t>
            </w:r>
          </w:p>
        </w:tc>
        <w:tc>
          <w:tcPr>
            <w:tcW w:w="1299" w:type="dxa"/>
            <w:tcBorders>
              <w:bottom w:val="single" w:sz="4" w:space="0" w:color="auto"/>
            </w:tcBorders>
            <w:shd w:val="clear" w:color="auto" w:fill="auto"/>
          </w:tcPr>
          <w:p w14:paraId="31AF2BDD" w14:textId="77777777" w:rsidR="008D75F7" w:rsidRPr="0076078C" w:rsidRDefault="008D75F7" w:rsidP="00363D42">
            <w:pPr>
              <w:jc w:val="center"/>
              <w:rPr>
                <w:b/>
                <w:sz w:val="24"/>
                <w:szCs w:val="24"/>
              </w:rPr>
            </w:pPr>
            <w:r w:rsidRPr="0076078C">
              <w:rPr>
                <w:b/>
                <w:sz w:val="24"/>
                <w:szCs w:val="24"/>
              </w:rPr>
              <w:fldChar w:fldCharType="begin"/>
            </w:r>
            <w:r w:rsidRPr="0076078C">
              <w:rPr>
                <w:b/>
                <w:sz w:val="24"/>
                <w:szCs w:val="24"/>
              </w:rPr>
              <w:instrText xml:space="preserve"> =SUM(ABOVE) </w:instrText>
            </w:r>
            <w:r w:rsidRPr="0076078C">
              <w:rPr>
                <w:b/>
                <w:sz w:val="24"/>
                <w:szCs w:val="24"/>
              </w:rPr>
              <w:fldChar w:fldCharType="separate"/>
            </w:r>
            <w:r w:rsidRPr="0076078C">
              <w:rPr>
                <w:b/>
                <w:noProof/>
                <w:sz w:val="24"/>
                <w:szCs w:val="24"/>
              </w:rPr>
              <w:t>36</w:t>
            </w:r>
            <w:r w:rsidRPr="0076078C">
              <w:rPr>
                <w:b/>
                <w:sz w:val="24"/>
                <w:szCs w:val="24"/>
              </w:rPr>
              <w:fldChar w:fldCharType="end"/>
            </w:r>
          </w:p>
        </w:tc>
      </w:tr>
      <w:tr w:rsidR="00C634C6" w:rsidRPr="0076078C" w14:paraId="36F355D6" w14:textId="77777777" w:rsidTr="00363D42">
        <w:trPr>
          <w:trHeight w:val="381"/>
          <w:jc w:val="center"/>
        </w:trPr>
        <w:tc>
          <w:tcPr>
            <w:tcW w:w="4415" w:type="dxa"/>
            <w:tcBorders>
              <w:right w:val="nil"/>
            </w:tcBorders>
            <w:shd w:val="clear" w:color="auto" w:fill="auto"/>
          </w:tcPr>
          <w:p w14:paraId="14DA9785" w14:textId="77777777" w:rsidR="00C634C6" w:rsidRPr="0076078C" w:rsidRDefault="00C634C6" w:rsidP="00827AF0">
            <w:pPr>
              <w:rPr>
                <w:b/>
                <w:sz w:val="24"/>
                <w:szCs w:val="24"/>
              </w:rPr>
            </w:pPr>
          </w:p>
        </w:tc>
        <w:tc>
          <w:tcPr>
            <w:tcW w:w="1299" w:type="dxa"/>
            <w:tcBorders>
              <w:left w:val="nil"/>
            </w:tcBorders>
            <w:shd w:val="clear" w:color="auto" w:fill="auto"/>
          </w:tcPr>
          <w:p w14:paraId="20F3759A" w14:textId="77777777" w:rsidR="00C634C6" w:rsidRPr="0076078C" w:rsidRDefault="00C634C6" w:rsidP="00827AF0">
            <w:pPr>
              <w:rPr>
                <w:b/>
                <w:sz w:val="24"/>
                <w:szCs w:val="24"/>
              </w:rPr>
            </w:pPr>
          </w:p>
        </w:tc>
      </w:tr>
      <w:tr w:rsidR="0076078C" w:rsidRPr="0076078C" w14:paraId="0CA71E3C" w14:textId="77777777" w:rsidTr="00363D42">
        <w:trPr>
          <w:jc w:val="center"/>
        </w:trPr>
        <w:tc>
          <w:tcPr>
            <w:tcW w:w="5714" w:type="dxa"/>
            <w:gridSpan w:val="2"/>
            <w:shd w:val="clear" w:color="auto" w:fill="A6A6A6" w:themeFill="background1" w:themeFillShade="A6"/>
          </w:tcPr>
          <w:p w14:paraId="6D345B80" w14:textId="68A88B60" w:rsidR="00C634C6" w:rsidRPr="0076078C" w:rsidRDefault="00C634C6" w:rsidP="00827AF0">
            <w:pPr>
              <w:jc w:val="center"/>
              <w:rPr>
                <w:b/>
                <w:sz w:val="24"/>
                <w:szCs w:val="24"/>
              </w:rPr>
            </w:pPr>
            <w:r w:rsidRPr="0076078C">
              <w:rPr>
                <w:b/>
                <w:sz w:val="24"/>
                <w:szCs w:val="24"/>
              </w:rPr>
              <w:t>Auto</w:t>
            </w:r>
            <w:r w:rsidR="003A1DFA">
              <w:rPr>
                <w:b/>
                <w:sz w:val="24"/>
                <w:szCs w:val="24"/>
              </w:rPr>
              <w:t xml:space="preserve"> </w:t>
            </w:r>
            <w:r w:rsidRPr="0076078C">
              <w:rPr>
                <w:b/>
                <w:sz w:val="24"/>
                <w:szCs w:val="24"/>
              </w:rPr>
              <w:t>009 de 2015</w:t>
            </w:r>
          </w:p>
        </w:tc>
      </w:tr>
      <w:tr w:rsidR="00363D42" w:rsidRPr="0076078C" w14:paraId="3C21EB5B" w14:textId="77777777" w:rsidTr="00363D42">
        <w:trPr>
          <w:jc w:val="center"/>
        </w:trPr>
        <w:tc>
          <w:tcPr>
            <w:tcW w:w="4415" w:type="dxa"/>
          </w:tcPr>
          <w:p w14:paraId="21E14622" w14:textId="77777777" w:rsidR="00C634C6" w:rsidRPr="0076078C" w:rsidRDefault="00C634C6" w:rsidP="00827AF0">
            <w:pPr>
              <w:rPr>
                <w:sz w:val="24"/>
                <w:szCs w:val="24"/>
              </w:rPr>
            </w:pPr>
            <w:r w:rsidRPr="0076078C">
              <w:rPr>
                <w:sz w:val="24"/>
                <w:szCs w:val="24"/>
              </w:rPr>
              <w:t xml:space="preserve">Archivo </w:t>
            </w:r>
          </w:p>
        </w:tc>
        <w:tc>
          <w:tcPr>
            <w:tcW w:w="1299" w:type="dxa"/>
          </w:tcPr>
          <w:p w14:paraId="5A4C4C8F" w14:textId="77777777" w:rsidR="00C634C6" w:rsidRPr="0076078C" w:rsidRDefault="00C634C6" w:rsidP="00363D42">
            <w:pPr>
              <w:jc w:val="center"/>
              <w:rPr>
                <w:sz w:val="24"/>
                <w:szCs w:val="24"/>
              </w:rPr>
            </w:pPr>
            <w:r w:rsidRPr="0076078C">
              <w:rPr>
                <w:sz w:val="24"/>
                <w:szCs w:val="24"/>
              </w:rPr>
              <w:t>3</w:t>
            </w:r>
          </w:p>
        </w:tc>
      </w:tr>
      <w:tr w:rsidR="00363D42" w:rsidRPr="0076078C" w14:paraId="0166232E" w14:textId="77777777" w:rsidTr="00363D42">
        <w:trPr>
          <w:jc w:val="center"/>
        </w:trPr>
        <w:tc>
          <w:tcPr>
            <w:tcW w:w="4415" w:type="dxa"/>
          </w:tcPr>
          <w:p w14:paraId="7C4EE0FD" w14:textId="77777777" w:rsidR="00C634C6" w:rsidRPr="0076078C" w:rsidRDefault="00C634C6" w:rsidP="00827AF0">
            <w:pPr>
              <w:rPr>
                <w:sz w:val="24"/>
                <w:szCs w:val="24"/>
              </w:rPr>
            </w:pPr>
            <w:r w:rsidRPr="0076078C">
              <w:rPr>
                <w:sz w:val="24"/>
                <w:szCs w:val="24"/>
              </w:rPr>
              <w:t xml:space="preserve">Investigación previa o indagación </w:t>
            </w:r>
          </w:p>
        </w:tc>
        <w:tc>
          <w:tcPr>
            <w:tcW w:w="1299" w:type="dxa"/>
          </w:tcPr>
          <w:p w14:paraId="791A4F6E" w14:textId="77777777" w:rsidR="00C634C6" w:rsidRPr="0076078C" w:rsidRDefault="00C634C6" w:rsidP="00363D42">
            <w:pPr>
              <w:jc w:val="center"/>
              <w:rPr>
                <w:sz w:val="24"/>
                <w:szCs w:val="24"/>
              </w:rPr>
            </w:pPr>
            <w:r w:rsidRPr="0076078C">
              <w:rPr>
                <w:sz w:val="24"/>
                <w:szCs w:val="24"/>
              </w:rPr>
              <w:t>69</w:t>
            </w:r>
          </w:p>
        </w:tc>
      </w:tr>
      <w:tr w:rsidR="00363D42" w:rsidRPr="0076078C" w14:paraId="68374C55" w14:textId="77777777" w:rsidTr="00363D42">
        <w:trPr>
          <w:jc w:val="center"/>
        </w:trPr>
        <w:tc>
          <w:tcPr>
            <w:tcW w:w="4415" w:type="dxa"/>
          </w:tcPr>
          <w:p w14:paraId="466044B2" w14:textId="77777777" w:rsidR="00C634C6" w:rsidRPr="0076078C" w:rsidRDefault="00C634C6" w:rsidP="00827AF0">
            <w:pPr>
              <w:rPr>
                <w:sz w:val="24"/>
                <w:szCs w:val="24"/>
              </w:rPr>
            </w:pPr>
            <w:r w:rsidRPr="0076078C">
              <w:rPr>
                <w:sz w:val="24"/>
                <w:szCs w:val="24"/>
              </w:rPr>
              <w:t>Investigación</w:t>
            </w:r>
          </w:p>
        </w:tc>
        <w:tc>
          <w:tcPr>
            <w:tcW w:w="1299" w:type="dxa"/>
          </w:tcPr>
          <w:p w14:paraId="76384837" w14:textId="77777777" w:rsidR="00C634C6" w:rsidRPr="0076078C" w:rsidRDefault="00C634C6" w:rsidP="00363D42">
            <w:pPr>
              <w:jc w:val="center"/>
              <w:rPr>
                <w:sz w:val="24"/>
                <w:szCs w:val="24"/>
              </w:rPr>
            </w:pPr>
            <w:r w:rsidRPr="0076078C">
              <w:rPr>
                <w:sz w:val="24"/>
                <w:szCs w:val="24"/>
              </w:rPr>
              <w:t>45</w:t>
            </w:r>
          </w:p>
        </w:tc>
      </w:tr>
      <w:tr w:rsidR="00363D42" w:rsidRPr="0076078C" w14:paraId="7E88B057" w14:textId="77777777" w:rsidTr="00363D42">
        <w:trPr>
          <w:jc w:val="center"/>
        </w:trPr>
        <w:tc>
          <w:tcPr>
            <w:tcW w:w="4415" w:type="dxa"/>
          </w:tcPr>
          <w:p w14:paraId="2C783784" w14:textId="77777777" w:rsidR="00C634C6" w:rsidRPr="0076078C" w:rsidRDefault="00C634C6" w:rsidP="00827AF0">
            <w:pPr>
              <w:rPr>
                <w:sz w:val="24"/>
                <w:szCs w:val="24"/>
              </w:rPr>
            </w:pPr>
            <w:r w:rsidRPr="0076078C">
              <w:rPr>
                <w:sz w:val="24"/>
                <w:szCs w:val="24"/>
              </w:rPr>
              <w:t>Instrucción</w:t>
            </w:r>
          </w:p>
        </w:tc>
        <w:tc>
          <w:tcPr>
            <w:tcW w:w="1299" w:type="dxa"/>
          </w:tcPr>
          <w:p w14:paraId="1AF6863E" w14:textId="77777777" w:rsidR="00C634C6" w:rsidRPr="0076078C" w:rsidRDefault="00C634C6" w:rsidP="00363D42">
            <w:pPr>
              <w:jc w:val="center"/>
              <w:rPr>
                <w:sz w:val="24"/>
                <w:szCs w:val="24"/>
              </w:rPr>
            </w:pPr>
            <w:r w:rsidRPr="0076078C">
              <w:rPr>
                <w:sz w:val="24"/>
                <w:szCs w:val="24"/>
              </w:rPr>
              <w:t>6</w:t>
            </w:r>
          </w:p>
        </w:tc>
      </w:tr>
      <w:tr w:rsidR="00363D42" w:rsidRPr="0076078C" w14:paraId="1882C35D" w14:textId="77777777" w:rsidTr="00363D42">
        <w:trPr>
          <w:jc w:val="center"/>
        </w:trPr>
        <w:tc>
          <w:tcPr>
            <w:tcW w:w="4415" w:type="dxa"/>
          </w:tcPr>
          <w:p w14:paraId="5CE2062B" w14:textId="77777777" w:rsidR="00C634C6" w:rsidRPr="0076078C" w:rsidRDefault="00C634C6" w:rsidP="00827AF0">
            <w:pPr>
              <w:rPr>
                <w:sz w:val="24"/>
                <w:szCs w:val="24"/>
              </w:rPr>
            </w:pPr>
            <w:r w:rsidRPr="0076078C">
              <w:rPr>
                <w:sz w:val="24"/>
                <w:szCs w:val="24"/>
              </w:rPr>
              <w:lastRenderedPageBreak/>
              <w:t xml:space="preserve">Juicio </w:t>
            </w:r>
          </w:p>
        </w:tc>
        <w:tc>
          <w:tcPr>
            <w:tcW w:w="1299" w:type="dxa"/>
          </w:tcPr>
          <w:p w14:paraId="66139688" w14:textId="77777777" w:rsidR="00C634C6" w:rsidRPr="0076078C" w:rsidRDefault="00C634C6" w:rsidP="00363D42">
            <w:pPr>
              <w:jc w:val="center"/>
              <w:rPr>
                <w:sz w:val="24"/>
                <w:szCs w:val="24"/>
              </w:rPr>
            </w:pPr>
            <w:r w:rsidRPr="0076078C">
              <w:rPr>
                <w:sz w:val="24"/>
                <w:szCs w:val="24"/>
              </w:rPr>
              <w:t>6</w:t>
            </w:r>
          </w:p>
        </w:tc>
      </w:tr>
      <w:tr w:rsidR="00363D42" w:rsidRPr="0076078C" w14:paraId="519F5D34" w14:textId="77777777" w:rsidTr="00363D42">
        <w:trPr>
          <w:jc w:val="center"/>
        </w:trPr>
        <w:tc>
          <w:tcPr>
            <w:tcW w:w="4415" w:type="dxa"/>
          </w:tcPr>
          <w:p w14:paraId="6B8D8619" w14:textId="77777777" w:rsidR="00C634C6" w:rsidRPr="0076078C" w:rsidRDefault="00C634C6" w:rsidP="00827AF0">
            <w:pPr>
              <w:rPr>
                <w:sz w:val="24"/>
                <w:szCs w:val="24"/>
              </w:rPr>
            </w:pPr>
            <w:r w:rsidRPr="0076078C">
              <w:rPr>
                <w:sz w:val="24"/>
                <w:szCs w:val="24"/>
              </w:rPr>
              <w:t>Casación</w:t>
            </w:r>
          </w:p>
        </w:tc>
        <w:tc>
          <w:tcPr>
            <w:tcW w:w="1299" w:type="dxa"/>
          </w:tcPr>
          <w:p w14:paraId="2F5E5994" w14:textId="77777777" w:rsidR="00C634C6" w:rsidRPr="0076078C" w:rsidRDefault="00C634C6" w:rsidP="00363D42">
            <w:pPr>
              <w:jc w:val="center"/>
              <w:rPr>
                <w:sz w:val="24"/>
                <w:szCs w:val="24"/>
              </w:rPr>
            </w:pPr>
            <w:r w:rsidRPr="0076078C">
              <w:rPr>
                <w:sz w:val="24"/>
                <w:szCs w:val="24"/>
              </w:rPr>
              <w:t>1</w:t>
            </w:r>
          </w:p>
        </w:tc>
      </w:tr>
      <w:tr w:rsidR="0076078C" w:rsidRPr="0076078C" w14:paraId="2BCBDE33" w14:textId="77777777" w:rsidTr="00363D42">
        <w:trPr>
          <w:jc w:val="center"/>
        </w:trPr>
        <w:tc>
          <w:tcPr>
            <w:tcW w:w="4415" w:type="dxa"/>
            <w:shd w:val="clear" w:color="auto" w:fill="auto"/>
          </w:tcPr>
          <w:p w14:paraId="4FBDCC11" w14:textId="77777777" w:rsidR="00C634C6" w:rsidRPr="0076078C" w:rsidRDefault="00C634C6" w:rsidP="00827AF0">
            <w:pPr>
              <w:rPr>
                <w:b/>
                <w:sz w:val="24"/>
                <w:szCs w:val="24"/>
              </w:rPr>
            </w:pPr>
            <w:r w:rsidRPr="0076078C">
              <w:rPr>
                <w:b/>
                <w:sz w:val="24"/>
                <w:szCs w:val="24"/>
              </w:rPr>
              <w:t>Total</w:t>
            </w:r>
          </w:p>
        </w:tc>
        <w:tc>
          <w:tcPr>
            <w:tcW w:w="1299" w:type="dxa"/>
            <w:shd w:val="clear" w:color="auto" w:fill="auto"/>
          </w:tcPr>
          <w:p w14:paraId="3F4A9892" w14:textId="77777777" w:rsidR="00C634C6" w:rsidRPr="0076078C" w:rsidRDefault="00C634C6" w:rsidP="00363D42">
            <w:pPr>
              <w:jc w:val="center"/>
              <w:rPr>
                <w:b/>
                <w:sz w:val="24"/>
                <w:szCs w:val="24"/>
              </w:rPr>
            </w:pPr>
            <w:r w:rsidRPr="0076078C">
              <w:rPr>
                <w:b/>
                <w:sz w:val="24"/>
                <w:szCs w:val="24"/>
              </w:rPr>
              <w:fldChar w:fldCharType="begin"/>
            </w:r>
            <w:r w:rsidRPr="0076078C">
              <w:rPr>
                <w:b/>
                <w:sz w:val="24"/>
                <w:szCs w:val="24"/>
              </w:rPr>
              <w:instrText xml:space="preserve"> =SUM(ABOVE) </w:instrText>
            </w:r>
            <w:r w:rsidRPr="0076078C">
              <w:rPr>
                <w:b/>
                <w:sz w:val="24"/>
                <w:szCs w:val="24"/>
              </w:rPr>
              <w:fldChar w:fldCharType="separate"/>
            </w:r>
            <w:r w:rsidRPr="0076078C">
              <w:rPr>
                <w:b/>
                <w:noProof/>
                <w:sz w:val="24"/>
                <w:szCs w:val="24"/>
              </w:rPr>
              <w:t>130</w:t>
            </w:r>
            <w:r w:rsidRPr="0076078C">
              <w:rPr>
                <w:b/>
                <w:sz w:val="24"/>
                <w:szCs w:val="24"/>
              </w:rPr>
              <w:fldChar w:fldCharType="end"/>
            </w:r>
          </w:p>
        </w:tc>
      </w:tr>
    </w:tbl>
    <w:p w14:paraId="3344CD31" w14:textId="77777777" w:rsidR="008D75F7" w:rsidRDefault="008D75F7" w:rsidP="008D75F7"/>
    <w:p w14:paraId="69EE8840" w14:textId="3A72CBFA" w:rsidR="008D75F7" w:rsidRDefault="005E1926" w:rsidP="008D75F7">
      <w:r>
        <w:t>De conformidad con lo anterior, e</w:t>
      </w:r>
      <w:r w:rsidR="00CA146C">
        <w:t xml:space="preserve">sta Sala solicitará información a la Procuraduría General de la Nación sobre </w:t>
      </w:r>
      <w:r w:rsidR="00025CD4">
        <w:t xml:space="preserve">las razones por las cuales constituyó agencias especiales en 36 de los 183 casos del anexo reservado del </w:t>
      </w:r>
      <w:r w:rsidR="00025CD4" w:rsidRPr="00025CD4">
        <w:rPr>
          <w:b/>
        </w:rPr>
        <w:t>Auto 092 de 2008</w:t>
      </w:r>
      <w:r w:rsidR="00025CD4">
        <w:t xml:space="preserve"> y en 130 de los 442 casos del anexo reservado del </w:t>
      </w:r>
      <w:r w:rsidR="00025CD4" w:rsidRPr="00025CD4">
        <w:rPr>
          <w:b/>
        </w:rPr>
        <w:t>Auto 009 de 2015</w:t>
      </w:r>
      <w:r w:rsidR="00025CD4">
        <w:t xml:space="preserve">. </w:t>
      </w:r>
    </w:p>
    <w:p w14:paraId="7EEDE73F" w14:textId="77777777" w:rsidR="008D75F7" w:rsidRDefault="008D75F7" w:rsidP="008D75F7"/>
    <w:p w14:paraId="07CD6097" w14:textId="3B75F836" w:rsidR="008D75F7" w:rsidRPr="003E1151" w:rsidRDefault="003E1151" w:rsidP="003A7DB8">
      <w:pPr>
        <w:pStyle w:val="Prrafodelista"/>
        <w:numPr>
          <w:ilvl w:val="0"/>
          <w:numId w:val="28"/>
        </w:numPr>
        <w:ind w:left="0" w:firstLine="0"/>
      </w:pPr>
      <w:r>
        <w:rPr>
          <w:rFonts w:cs="Times New Roman"/>
        </w:rPr>
        <w:t>En la j</w:t>
      </w:r>
      <w:r w:rsidRPr="00F54EF5">
        <w:rPr>
          <w:rFonts w:cs="Times New Roman"/>
          <w:shd w:val="clear" w:color="auto" w:fill="FFFFFF"/>
        </w:rPr>
        <w:t>ornada de trabajo interinstitucional</w:t>
      </w:r>
      <w:r>
        <w:rPr>
          <w:rFonts w:cs="Times New Roman"/>
          <w:shd w:val="clear" w:color="auto" w:fill="FFFFFF"/>
        </w:rPr>
        <w:t xml:space="preserve"> del 17 de abril de 2018, convocada por la Procuraduría General de la Nación</w:t>
      </w:r>
      <w:r w:rsidRPr="00F54EF5">
        <w:rPr>
          <w:rFonts w:cs="Times New Roman"/>
          <w:shd w:val="clear" w:color="auto" w:fill="FFFFFF"/>
        </w:rPr>
        <w:t xml:space="preserve"> en </w:t>
      </w:r>
      <w:r>
        <w:rPr>
          <w:rFonts w:cs="Times New Roman"/>
          <w:shd w:val="clear" w:color="auto" w:fill="FFFFFF"/>
        </w:rPr>
        <w:t xml:space="preserve">el marco del seguimiento a los </w:t>
      </w:r>
      <w:r w:rsidRPr="00C520F7">
        <w:rPr>
          <w:rFonts w:cs="Times New Roman"/>
          <w:b/>
          <w:shd w:val="clear" w:color="auto" w:fill="FFFFFF"/>
        </w:rPr>
        <w:t>Autos 092 de 2008 y 009 de 2015</w:t>
      </w:r>
      <w:r w:rsidRPr="00F54EF5">
        <w:rPr>
          <w:rFonts w:cs="Times New Roman"/>
          <w:shd w:val="clear" w:color="auto" w:fill="FFFFFF"/>
        </w:rPr>
        <w:t>, </w:t>
      </w:r>
      <w:r w:rsidR="00B320B4">
        <w:rPr>
          <w:rFonts w:cs="Times New Roman"/>
          <w:shd w:val="clear" w:color="auto" w:fill="FFFFFF"/>
        </w:rPr>
        <w:t>ese ente de control presentó</w:t>
      </w:r>
      <w:r w:rsidR="00D51802">
        <w:rPr>
          <w:rFonts w:cs="Times New Roman"/>
          <w:shd w:val="clear" w:color="auto" w:fill="FFFFFF"/>
        </w:rPr>
        <w:t xml:space="preserve"> la siguiente información</w:t>
      </w:r>
      <w:r w:rsidR="00873082">
        <w:rPr>
          <w:rFonts w:cs="Times New Roman"/>
          <w:shd w:val="clear" w:color="auto" w:fill="FFFFFF"/>
        </w:rPr>
        <w:t xml:space="preserve"> sobre los </w:t>
      </w:r>
      <w:r w:rsidR="0095538E">
        <w:rPr>
          <w:rFonts w:cs="Times New Roman"/>
          <w:shd w:val="clear" w:color="auto" w:fill="FFFFFF"/>
        </w:rPr>
        <w:t xml:space="preserve">442 </w:t>
      </w:r>
      <w:r w:rsidR="00873082">
        <w:rPr>
          <w:rFonts w:cs="Times New Roman"/>
          <w:shd w:val="clear" w:color="auto" w:fill="FFFFFF"/>
        </w:rPr>
        <w:t xml:space="preserve">casos del </w:t>
      </w:r>
      <w:r w:rsidR="00494511" w:rsidRPr="00494511">
        <w:rPr>
          <w:rFonts w:cs="Times New Roman"/>
          <w:b/>
          <w:shd w:val="clear" w:color="auto" w:fill="FFFFFF"/>
        </w:rPr>
        <w:t>Auto 009 de 2015</w:t>
      </w:r>
      <w:r w:rsidR="00D51802">
        <w:rPr>
          <w:rFonts w:cs="Times New Roman"/>
          <w:shd w:val="clear" w:color="auto" w:fill="FFFFFF"/>
        </w:rPr>
        <w:t>:</w:t>
      </w:r>
    </w:p>
    <w:p w14:paraId="090C337F" w14:textId="77777777" w:rsidR="003E1151" w:rsidRDefault="003E1151" w:rsidP="003E1151">
      <w:pPr>
        <w:pStyle w:val="Prrafodelista"/>
        <w:ind w:left="928"/>
        <w:rPr>
          <w:rFonts w:cs="Times New Roman"/>
          <w:shd w:val="clear" w:color="auto" w:fill="FFFFFF"/>
        </w:rPr>
      </w:pPr>
    </w:p>
    <w:p w14:paraId="34203F9E" w14:textId="702CE8E0" w:rsidR="003E1151" w:rsidRPr="00494511" w:rsidRDefault="00D51802" w:rsidP="00D51802">
      <w:pPr>
        <w:pStyle w:val="Prrafodelista"/>
        <w:ind w:left="0"/>
        <w:jc w:val="left"/>
        <w:rPr>
          <w:b/>
        </w:rPr>
      </w:pPr>
      <w:r w:rsidRPr="00494511">
        <w:rPr>
          <w:b/>
        </w:rPr>
        <w:t xml:space="preserve">Tabla 6. </w:t>
      </w:r>
      <w:r w:rsidR="00873082" w:rsidRPr="00494511">
        <w:rPr>
          <w:b/>
        </w:rPr>
        <w:t xml:space="preserve">Estado procesal </w:t>
      </w:r>
      <w:r w:rsidR="00494511" w:rsidRPr="00494511">
        <w:rPr>
          <w:b/>
        </w:rPr>
        <w:t>de los casos del anexo reservado del Auto 009 de 2015.</w:t>
      </w:r>
    </w:p>
    <w:p w14:paraId="10CDE9D2" w14:textId="77777777" w:rsidR="00D51802" w:rsidRDefault="00D51802" w:rsidP="004C20C4">
      <w:pPr>
        <w:pStyle w:val="Prrafodelista"/>
        <w:ind w:left="928"/>
      </w:pPr>
    </w:p>
    <w:tbl>
      <w:tblPr>
        <w:tblStyle w:val="Tablaconcuadrcula"/>
        <w:tblW w:w="5811" w:type="dxa"/>
        <w:jc w:val="center"/>
        <w:tblLook w:val="04A0" w:firstRow="1" w:lastRow="0" w:firstColumn="1" w:lastColumn="0" w:noHBand="0" w:noVBand="1"/>
      </w:tblPr>
      <w:tblGrid>
        <w:gridCol w:w="4962"/>
        <w:gridCol w:w="849"/>
      </w:tblGrid>
      <w:tr w:rsidR="00CE20BF" w:rsidRPr="00CE20BF" w14:paraId="419E183A" w14:textId="77777777" w:rsidTr="00CB0544">
        <w:trPr>
          <w:trHeight w:val="458"/>
          <w:jc w:val="center"/>
        </w:trPr>
        <w:tc>
          <w:tcPr>
            <w:tcW w:w="5811" w:type="dxa"/>
            <w:gridSpan w:val="2"/>
            <w:shd w:val="clear" w:color="auto" w:fill="AEAAAA" w:themeFill="background2" w:themeFillShade="BF"/>
            <w:hideMark/>
          </w:tcPr>
          <w:p w14:paraId="535D6951" w14:textId="250EC9C9" w:rsidR="00CE20BF" w:rsidRPr="00CE20BF" w:rsidRDefault="00CE20BF" w:rsidP="00C46FAC">
            <w:pPr>
              <w:jc w:val="center"/>
              <w:rPr>
                <w:sz w:val="24"/>
              </w:rPr>
            </w:pPr>
            <w:r w:rsidRPr="00CE20BF">
              <w:rPr>
                <w:sz w:val="24"/>
              </w:rPr>
              <w:t>ESTADO PROCESAL</w:t>
            </w:r>
          </w:p>
        </w:tc>
      </w:tr>
      <w:tr w:rsidR="00634790" w:rsidRPr="00CE20BF" w14:paraId="5D230BC2" w14:textId="77777777" w:rsidTr="0044547C">
        <w:trPr>
          <w:trHeight w:val="277"/>
          <w:jc w:val="center"/>
        </w:trPr>
        <w:tc>
          <w:tcPr>
            <w:tcW w:w="4962" w:type="dxa"/>
            <w:hideMark/>
          </w:tcPr>
          <w:p w14:paraId="69142DB4" w14:textId="1982442B" w:rsidR="00CE20BF" w:rsidRPr="00CE20BF" w:rsidRDefault="00634790" w:rsidP="004C20C4">
            <w:pPr>
              <w:rPr>
                <w:sz w:val="24"/>
              </w:rPr>
            </w:pPr>
            <w:r>
              <w:rPr>
                <w:sz w:val="24"/>
              </w:rPr>
              <w:t>Casos c</w:t>
            </w:r>
            <w:r w:rsidRPr="00CE20BF">
              <w:rPr>
                <w:sz w:val="24"/>
              </w:rPr>
              <w:t xml:space="preserve">on </w:t>
            </w:r>
            <w:r w:rsidR="0044547C">
              <w:rPr>
                <w:sz w:val="24"/>
              </w:rPr>
              <w:t>Resolución</w:t>
            </w:r>
            <w:r>
              <w:rPr>
                <w:sz w:val="24"/>
              </w:rPr>
              <w:t xml:space="preserve"> </w:t>
            </w:r>
            <w:r w:rsidR="0044547C">
              <w:rPr>
                <w:sz w:val="24"/>
              </w:rPr>
              <w:t>Inhibitoria</w:t>
            </w:r>
            <w:r>
              <w:rPr>
                <w:sz w:val="24"/>
              </w:rPr>
              <w:t xml:space="preserve"> / Archivo</w:t>
            </w:r>
            <w:r w:rsidRPr="00CE20BF">
              <w:rPr>
                <w:sz w:val="24"/>
              </w:rPr>
              <w:t xml:space="preserve">: </w:t>
            </w:r>
          </w:p>
        </w:tc>
        <w:tc>
          <w:tcPr>
            <w:tcW w:w="849" w:type="dxa"/>
            <w:hideMark/>
          </w:tcPr>
          <w:p w14:paraId="462A3AEA" w14:textId="77777777" w:rsidR="00CE20BF" w:rsidRPr="00CE20BF" w:rsidRDefault="00CE20BF" w:rsidP="004C20C4">
            <w:pPr>
              <w:jc w:val="center"/>
              <w:rPr>
                <w:sz w:val="24"/>
              </w:rPr>
            </w:pPr>
            <w:r w:rsidRPr="00CE20BF">
              <w:rPr>
                <w:sz w:val="24"/>
              </w:rPr>
              <w:t>10</w:t>
            </w:r>
          </w:p>
        </w:tc>
      </w:tr>
      <w:tr w:rsidR="00634790" w:rsidRPr="00CE20BF" w14:paraId="20930C31" w14:textId="77777777" w:rsidTr="0044547C">
        <w:trPr>
          <w:trHeight w:val="268"/>
          <w:jc w:val="center"/>
        </w:trPr>
        <w:tc>
          <w:tcPr>
            <w:tcW w:w="4962" w:type="dxa"/>
            <w:hideMark/>
          </w:tcPr>
          <w:p w14:paraId="2486E8C5" w14:textId="3994FCD2" w:rsidR="00CE20BF" w:rsidRPr="00CE20BF" w:rsidRDefault="00634790" w:rsidP="004C20C4">
            <w:pPr>
              <w:rPr>
                <w:sz w:val="24"/>
              </w:rPr>
            </w:pPr>
            <w:r>
              <w:rPr>
                <w:sz w:val="24"/>
              </w:rPr>
              <w:t>Casos con Preclusión</w:t>
            </w:r>
            <w:r w:rsidRPr="00CE20BF">
              <w:rPr>
                <w:sz w:val="24"/>
              </w:rPr>
              <w:t xml:space="preserve">: </w:t>
            </w:r>
          </w:p>
        </w:tc>
        <w:tc>
          <w:tcPr>
            <w:tcW w:w="849" w:type="dxa"/>
            <w:hideMark/>
          </w:tcPr>
          <w:p w14:paraId="669C987E" w14:textId="77777777" w:rsidR="00CE20BF" w:rsidRPr="00CE20BF" w:rsidRDefault="00CE20BF" w:rsidP="004C20C4">
            <w:pPr>
              <w:jc w:val="center"/>
              <w:rPr>
                <w:sz w:val="24"/>
              </w:rPr>
            </w:pPr>
            <w:r w:rsidRPr="00CE20BF">
              <w:rPr>
                <w:sz w:val="24"/>
              </w:rPr>
              <w:t>5</w:t>
            </w:r>
          </w:p>
        </w:tc>
      </w:tr>
      <w:tr w:rsidR="00634790" w:rsidRPr="00CE20BF" w14:paraId="278C682D" w14:textId="77777777" w:rsidTr="0044547C">
        <w:trPr>
          <w:trHeight w:val="218"/>
          <w:jc w:val="center"/>
        </w:trPr>
        <w:tc>
          <w:tcPr>
            <w:tcW w:w="4962" w:type="dxa"/>
            <w:hideMark/>
          </w:tcPr>
          <w:p w14:paraId="4447754A" w14:textId="447A7F63" w:rsidR="00CE20BF" w:rsidRPr="00CE20BF" w:rsidRDefault="00634790" w:rsidP="004C20C4">
            <w:pPr>
              <w:rPr>
                <w:sz w:val="24"/>
              </w:rPr>
            </w:pPr>
            <w:r>
              <w:rPr>
                <w:sz w:val="24"/>
              </w:rPr>
              <w:t>Casos en Investigación Previa</w:t>
            </w:r>
            <w:r w:rsidRPr="00CE20BF">
              <w:rPr>
                <w:sz w:val="24"/>
              </w:rPr>
              <w:t xml:space="preserve">: </w:t>
            </w:r>
          </w:p>
        </w:tc>
        <w:tc>
          <w:tcPr>
            <w:tcW w:w="849" w:type="dxa"/>
            <w:hideMark/>
          </w:tcPr>
          <w:p w14:paraId="046B6849" w14:textId="77777777" w:rsidR="00CE20BF" w:rsidRPr="00CE20BF" w:rsidRDefault="00CE20BF" w:rsidP="004C20C4">
            <w:pPr>
              <w:jc w:val="center"/>
              <w:rPr>
                <w:sz w:val="24"/>
              </w:rPr>
            </w:pPr>
            <w:r w:rsidRPr="00CE20BF">
              <w:rPr>
                <w:sz w:val="24"/>
              </w:rPr>
              <w:t>81</w:t>
            </w:r>
          </w:p>
        </w:tc>
      </w:tr>
      <w:tr w:rsidR="00634790" w:rsidRPr="00CE20BF" w14:paraId="1F43953E" w14:textId="77777777" w:rsidTr="0044547C">
        <w:trPr>
          <w:trHeight w:val="276"/>
          <w:jc w:val="center"/>
        </w:trPr>
        <w:tc>
          <w:tcPr>
            <w:tcW w:w="4962" w:type="dxa"/>
            <w:hideMark/>
          </w:tcPr>
          <w:p w14:paraId="50854DE7" w14:textId="0558B82F" w:rsidR="00CE20BF" w:rsidRPr="00CE20BF" w:rsidRDefault="00634790" w:rsidP="004C20C4">
            <w:pPr>
              <w:rPr>
                <w:sz w:val="24"/>
              </w:rPr>
            </w:pPr>
            <w:r>
              <w:rPr>
                <w:sz w:val="24"/>
              </w:rPr>
              <w:t>Casos en Investigación</w:t>
            </w:r>
            <w:r w:rsidRPr="00CE20BF">
              <w:rPr>
                <w:sz w:val="24"/>
              </w:rPr>
              <w:t xml:space="preserve">: </w:t>
            </w:r>
          </w:p>
        </w:tc>
        <w:tc>
          <w:tcPr>
            <w:tcW w:w="849" w:type="dxa"/>
            <w:hideMark/>
          </w:tcPr>
          <w:p w14:paraId="250A82AB" w14:textId="77777777" w:rsidR="00CE20BF" w:rsidRPr="00CE20BF" w:rsidRDefault="00CE20BF" w:rsidP="004C20C4">
            <w:pPr>
              <w:jc w:val="center"/>
              <w:rPr>
                <w:sz w:val="24"/>
              </w:rPr>
            </w:pPr>
            <w:r w:rsidRPr="00CE20BF">
              <w:rPr>
                <w:sz w:val="24"/>
              </w:rPr>
              <w:t>18</w:t>
            </w:r>
          </w:p>
        </w:tc>
      </w:tr>
      <w:tr w:rsidR="00634790" w:rsidRPr="00CE20BF" w14:paraId="6AA17C58" w14:textId="77777777" w:rsidTr="0044547C">
        <w:trPr>
          <w:trHeight w:val="287"/>
          <w:jc w:val="center"/>
        </w:trPr>
        <w:tc>
          <w:tcPr>
            <w:tcW w:w="4962" w:type="dxa"/>
            <w:hideMark/>
          </w:tcPr>
          <w:p w14:paraId="7EC12B0F" w14:textId="5A52ED46" w:rsidR="00CE20BF" w:rsidRPr="00CE20BF" w:rsidRDefault="00634790" w:rsidP="004C20C4">
            <w:pPr>
              <w:rPr>
                <w:sz w:val="24"/>
              </w:rPr>
            </w:pPr>
            <w:r>
              <w:rPr>
                <w:sz w:val="24"/>
              </w:rPr>
              <w:t>Casos en Juicio</w:t>
            </w:r>
            <w:r w:rsidRPr="00CE20BF">
              <w:rPr>
                <w:sz w:val="24"/>
              </w:rPr>
              <w:t xml:space="preserve">: </w:t>
            </w:r>
          </w:p>
        </w:tc>
        <w:tc>
          <w:tcPr>
            <w:tcW w:w="849" w:type="dxa"/>
            <w:hideMark/>
          </w:tcPr>
          <w:p w14:paraId="539DDFD9" w14:textId="77777777" w:rsidR="00CE20BF" w:rsidRPr="00CE20BF" w:rsidRDefault="00CE20BF" w:rsidP="004C20C4">
            <w:pPr>
              <w:jc w:val="center"/>
              <w:rPr>
                <w:sz w:val="24"/>
              </w:rPr>
            </w:pPr>
            <w:r w:rsidRPr="00CE20BF">
              <w:rPr>
                <w:sz w:val="24"/>
              </w:rPr>
              <w:t>9</w:t>
            </w:r>
          </w:p>
        </w:tc>
      </w:tr>
      <w:tr w:rsidR="00634790" w:rsidRPr="00CE20BF" w14:paraId="26860C25" w14:textId="77777777" w:rsidTr="0044547C">
        <w:trPr>
          <w:trHeight w:val="238"/>
          <w:jc w:val="center"/>
        </w:trPr>
        <w:tc>
          <w:tcPr>
            <w:tcW w:w="4962" w:type="dxa"/>
            <w:hideMark/>
          </w:tcPr>
          <w:p w14:paraId="502C271E" w14:textId="1129E024" w:rsidR="00CE20BF" w:rsidRPr="00CE20BF" w:rsidRDefault="00634790" w:rsidP="004C20C4">
            <w:pPr>
              <w:rPr>
                <w:sz w:val="24"/>
              </w:rPr>
            </w:pPr>
            <w:r w:rsidRPr="00CE20BF">
              <w:rPr>
                <w:sz w:val="24"/>
              </w:rPr>
              <w:t>C</w:t>
            </w:r>
            <w:r>
              <w:rPr>
                <w:sz w:val="24"/>
              </w:rPr>
              <w:t>asos con Sentencia Condenatoria</w:t>
            </w:r>
            <w:r w:rsidRPr="00CE20BF">
              <w:rPr>
                <w:sz w:val="24"/>
              </w:rPr>
              <w:t xml:space="preserve">: </w:t>
            </w:r>
          </w:p>
        </w:tc>
        <w:tc>
          <w:tcPr>
            <w:tcW w:w="849" w:type="dxa"/>
            <w:hideMark/>
          </w:tcPr>
          <w:p w14:paraId="48E579FF" w14:textId="77777777" w:rsidR="00CE20BF" w:rsidRPr="00CE20BF" w:rsidRDefault="00CE20BF" w:rsidP="004C20C4">
            <w:pPr>
              <w:jc w:val="center"/>
              <w:rPr>
                <w:sz w:val="24"/>
              </w:rPr>
            </w:pPr>
            <w:r w:rsidRPr="00CE20BF">
              <w:rPr>
                <w:sz w:val="24"/>
              </w:rPr>
              <w:t>6</w:t>
            </w:r>
          </w:p>
        </w:tc>
      </w:tr>
      <w:tr w:rsidR="00634790" w:rsidRPr="00CE20BF" w14:paraId="2C28892E" w14:textId="77777777" w:rsidTr="0044547C">
        <w:trPr>
          <w:trHeight w:val="247"/>
          <w:jc w:val="center"/>
        </w:trPr>
        <w:tc>
          <w:tcPr>
            <w:tcW w:w="4962" w:type="dxa"/>
            <w:hideMark/>
          </w:tcPr>
          <w:p w14:paraId="7F8CBF7B" w14:textId="6E521C9C" w:rsidR="00CE20BF" w:rsidRPr="00CE20BF" w:rsidRDefault="00634790" w:rsidP="004C20C4">
            <w:pPr>
              <w:jc w:val="left"/>
              <w:rPr>
                <w:sz w:val="24"/>
              </w:rPr>
            </w:pPr>
            <w:r>
              <w:rPr>
                <w:sz w:val="24"/>
              </w:rPr>
              <w:t>Casos con Sentencia Absolutoria</w:t>
            </w:r>
            <w:r w:rsidRPr="00CE20BF">
              <w:rPr>
                <w:sz w:val="24"/>
              </w:rPr>
              <w:t xml:space="preserve">: </w:t>
            </w:r>
          </w:p>
        </w:tc>
        <w:tc>
          <w:tcPr>
            <w:tcW w:w="849" w:type="dxa"/>
            <w:hideMark/>
          </w:tcPr>
          <w:p w14:paraId="559ABBEE" w14:textId="77777777" w:rsidR="00CE20BF" w:rsidRPr="00CE20BF" w:rsidRDefault="00CE20BF" w:rsidP="004C20C4">
            <w:pPr>
              <w:jc w:val="center"/>
              <w:rPr>
                <w:sz w:val="24"/>
              </w:rPr>
            </w:pPr>
            <w:r w:rsidRPr="00CE20BF">
              <w:rPr>
                <w:sz w:val="24"/>
              </w:rPr>
              <w:t>0</w:t>
            </w:r>
          </w:p>
        </w:tc>
      </w:tr>
      <w:tr w:rsidR="00634790" w:rsidRPr="00CE20BF" w14:paraId="348E1F50" w14:textId="77777777" w:rsidTr="0044547C">
        <w:trPr>
          <w:trHeight w:val="250"/>
          <w:jc w:val="center"/>
        </w:trPr>
        <w:tc>
          <w:tcPr>
            <w:tcW w:w="4962" w:type="dxa"/>
            <w:hideMark/>
          </w:tcPr>
          <w:p w14:paraId="2A237CE2" w14:textId="3C739269" w:rsidR="00CE20BF" w:rsidRPr="00CE20BF" w:rsidRDefault="00634790" w:rsidP="004C20C4">
            <w:pPr>
              <w:rPr>
                <w:sz w:val="24"/>
              </w:rPr>
            </w:pPr>
            <w:r>
              <w:rPr>
                <w:sz w:val="24"/>
              </w:rPr>
              <w:t>Justicia Transicional e</w:t>
            </w:r>
            <w:r w:rsidRPr="00CE20BF">
              <w:rPr>
                <w:sz w:val="24"/>
              </w:rPr>
              <w:t xml:space="preserve">n </w:t>
            </w:r>
            <w:r w:rsidR="0044547C" w:rsidRPr="00CE20BF">
              <w:rPr>
                <w:sz w:val="24"/>
              </w:rPr>
              <w:t>Documentación</w:t>
            </w:r>
            <w:r w:rsidRPr="00CE20BF">
              <w:rPr>
                <w:sz w:val="24"/>
              </w:rPr>
              <w:t>:</w:t>
            </w:r>
          </w:p>
        </w:tc>
        <w:tc>
          <w:tcPr>
            <w:tcW w:w="849" w:type="dxa"/>
            <w:hideMark/>
          </w:tcPr>
          <w:p w14:paraId="2E7AB568" w14:textId="77777777" w:rsidR="00CE20BF" w:rsidRPr="00CE20BF" w:rsidRDefault="00CE20BF" w:rsidP="004C20C4">
            <w:pPr>
              <w:jc w:val="center"/>
              <w:rPr>
                <w:sz w:val="24"/>
              </w:rPr>
            </w:pPr>
            <w:r w:rsidRPr="00CE20BF">
              <w:rPr>
                <w:sz w:val="24"/>
              </w:rPr>
              <w:t>66</w:t>
            </w:r>
          </w:p>
        </w:tc>
      </w:tr>
      <w:tr w:rsidR="00634790" w:rsidRPr="00CE20BF" w14:paraId="002107DF" w14:textId="77777777" w:rsidTr="0044547C">
        <w:trPr>
          <w:trHeight w:val="244"/>
          <w:jc w:val="center"/>
        </w:trPr>
        <w:tc>
          <w:tcPr>
            <w:tcW w:w="4962" w:type="dxa"/>
            <w:hideMark/>
          </w:tcPr>
          <w:p w14:paraId="4B54134F" w14:textId="6ED140BB" w:rsidR="00CE20BF" w:rsidRPr="00CE20BF" w:rsidRDefault="00634790" w:rsidP="004C20C4">
            <w:pPr>
              <w:rPr>
                <w:sz w:val="24"/>
              </w:rPr>
            </w:pPr>
            <w:r>
              <w:rPr>
                <w:sz w:val="24"/>
              </w:rPr>
              <w:t>Casos e</w:t>
            </w:r>
            <w:r w:rsidRPr="00CE20BF">
              <w:rPr>
                <w:sz w:val="24"/>
              </w:rPr>
              <w:t>n Verificación</w:t>
            </w:r>
            <w:r>
              <w:rPr>
                <w:sz w:val="24"/>
              </w:rPr>
              <w:t>:</w:t>
            </w:r>
          </w:p>
        </w:tc>
        <w:tc>
          <w:tcPr>
            <w:tcW w:w="849" w:type="dxa"/>
            <w:hideMark/>
          </w:tcPr>
          <w:p w14:paraId="73758FF8" w14:textId="77777777" w:rsidR="00CE20BF" w:rsidRPr="00CE20BF" w:rsidRDefault="00CE20BF" w:rsidP="004C20C4">
            <w:pPr>
              <w:jc w:val="center"/>
              <w:rPr>
                <w:sz w:val="24"/>
              </w:rPr>
            </w:pPr>
            <w:r w:rsidRPr="00CE20BF">
              <w:rPr>
                <w:sz w:val="24"/>
              </w:rPr>
              <w:t>247</w:t>
            </w:r>
          </w:p>
        </w:tc>
      </w:tr>
      <w:tr w:rsidR="0095538E" w:rsidRPr="00CE20BF" w14:paraId="3C926069" w14:textId="77777777" w:rsidTr="00100A24">
        <w:trPr>
          <w:trHeight w:val="88"/>
          <w:jc w:val="center"/>
        </w:trPr>
        <w:tc>
          <w:tcPr>
            <w:tcW w:w="4962" w:type="dxa"/>
          </w:tcPr>
          <w:p w14:paraId="1C4FCDED" w14:textId="56896DF7" w:rsidR="0095538E" w:rsidRDefault="0095538E" w:rsidP="004C20C4">
            <w:pPr>
              <w:rPr>
                <w:sz w:val="24"/>
              </w:rPr>
            </w:pPr>
            <w:r>
              <w:rPr>
                <w:sz w:val="24"/>
              </w:rPr>
              <w:t>TOTAL</w:t>
            </w:r>
          </w:p>
        </w:tc>
        <w:tc>
          <w:tcPr>
            <w:tcW w:w="849" w:type="dxa"/>
          </w:tcPr>
          <w:p w14:paraId="3C9BB598" w14:textId="714C840E" w:rsidR="0095538E" w:rsidRPr="00CE20BF" w:rsidRDefault="0095538E" w:rsidP="004C20C4">
            <w:pPr>
              <w:jc w:val="center"/>
              <w:rPr>
                <w:sz w:val="24"/>
              </w:rPr>
            </w:pPr>
            <w:r>
              <w:rPr>
                <w:sz w:val="24"/>
              </w:rPr>
              <w:t>442</w:t>
            </w:r>
          </w:p>
        </w:tc>
      </w:tr>
    </w:tbl>
    <w:p w14:paraId="71746027" w14:textId="77777777" w:rsidR="00681478" w:rsidRDefault="00681478" w:rsidP="004C20C4"/>
    <w:p w14:paraId="27C71B1A" w14:textId="77777777" w:rsidR="005E1926" w:rsidRDefault="006206E5" w:rsidP="008D75F7">
      <w:r>
        <w:t xml:space="preserve">En atención a lo anterior, </w:t>
      </w:r>
      <w:r w:rsidR="00344827">
        <w:t xml:space="preserve">y en tanto la información presentada en abril y en mayo de 2018 con relación al </w:t>
      </w:r>
      <w:r w:rsidR="00344827" w:rsidRPr="00344827">
        <w:rPr>
          <w:b/>
        </w:rPr>
        <w:t>Auto 009 de 2015</w:t>
      </w:r>
      <w:r w:rsidR="00344827">
        <w:t xml:space="preserve"> varía considerablemente, </w:t>
      </w:r>
      <w:r>
        <w:t xml:space="preserve">se solicitará a la Procuraduría General dar respuesta a las siguientes preguntas: </w:t>
      </w:r>
    </w:p>
    <w:p w14:paraId="4999D169" w14:textId="77777777" w:rsidR="005E1926" w:rsidRDefault="005E1926" w:rsidP="008D75F7"/>
    <w:p w14:paraId="5A4BDA81" w14:textId="319F05D0" w:rsidR="003E75A8" w:rsidRDefault="00BE592B" w:rsidP="003E75A8">
      <w:pPr>
        <w:pStyle w:val="Prrafodelista"/>
        <w:numPr>
          <w:ilvl w:val="0"/>
          <w:numId w:val="27"/>
        </w:numPr>
        <w:tabs>
          <w:tab w:val="left" w:pos="993"/>
        </w:tabs>
        <w:ind w:left="426" w:firstLine="0"/>
      </w:pPr>
      <w:r>
        <w:t xml:space="preserve">¿A qué se debe la variación en la información sobre el estado procesal de los casos del </w:t>
      </w:r>
      <w:r w:rsidRPr="003E75A8">
        <w:rPr>
          <w:b/>
        </w:rPr>
        <w:t>Auto 009 de 2015</w:t>
      </w:r>
      <w:r w:rsidR="005F4945">
        <w:rPr>
          <w:b/>
        </w:rPr>
        <w:t xml:space="preserve"> </w:t>
      </w:r>
      <w:r w:rsidR="005F4945" w:rsidRPr="00385456">
        <w:t>presentada en la jornada de trabajo interinstitucional de abril de 2018 y la respuesta enviada por la Procuraduría a esta Sala Especial en mayo del mismo año</w:t>
      </w:r>
      <w:r>
        <w:t xml:space="preserve">?; </w:t>
      </w:r>
    </w:p>
    <w:p w14:paraId="4DBADEF4" w14:textId="77777777" w:rsidR="003E75A8" w:rsidRPr="00E46810" w:rsidRDefault="003E75A8" w:rsidP="003E75A8">
      <w:pPr>
        <w:pStyle w:val="Prrafodelista"/>
        <w:tabs>
          <w:tab w:val="left" w:pos="993"/>
        </w:tabs>
        <w:ind w:left="426"/>
      </w:pPr>
    </w:p>
    <w:p w14:paraId="102EFACD" w14:textId="1F9BBF22" w:rsidR="003E75A8" w:rsidRPr="00E46810" w:rsidRDefault="004C20C4" w:rsidP="003E75A8">
      <w:pPr>
        <w:pStyle w:val="Prrafodelista"/>
        <w:numPr>
          <w:ilvl w:val="0"/>
          <w:numId w:val="27"/>
        </w:numPr>
        <w:tabs>
          <w:tab w:val="left" w:pos="993"/>
          <w:tab w:val="left" w:pos="1276"/>
        </w:tabs>
        <w:ind w:left="426" w:firstLine="0"/>
      </w:pPr>
      <w:r w:rsidRPr="00E46810">
        <w:t>¿</w:t>
      </w:r>
      <w:r w:rsidR="005E1926" w:rsidRPr="00E46810">
        <w:t>E</w:t>
      </w:r>
      <w:r w:rsidR="0033587C" w:rsidRPr="00E46810">
        <w:t>n qué estado procesal se encuentran</w:t>
      </w:r>
      <w:r w:rsidRPr="00E46810">
        <w:t xml:space="preserve"> los</w:t>
      </w:r>
      <w:r w:rsidR="0033587C" w:rsidRPr="00E46810">
        <w:t xml:space="preserve"> 247</w:t>
      </w:r>
      <w:r w:rsidRPr="00E46810">
        <w:t xml:space="preserve"> casos en verificación?</w:t>
      </w:r>
      <w:r w:rsidR="0033587C" w:rsidRPr="00E46810">
        <w:t xml:space="preserve"> ¿</w:t>
      </w:r>
      <w:r w:rsidR="0044547C" w:rsidRPr="00E46810">
        <w:t>Tales</w:t>
      </w:r>
      <w:r w:rsidR="0033587C" w:rsidRPr="00E46810">
        <w:t xml:space="preserve"> casos tienen </w:t>
      </w:r>
      <w:r w:rsidR="003E75A8" w:rsidRPr="00E46810">
        <w:t>o han tenido intervención de la Procuraduría</w:t>
      </w:r>
      <w:r w:rsidR="0033587C" w:rsidRPr="00E46810">
        <w:t>?</w:t>
      </w:r>
      <w:r w:rsidR="00805A6A" w:rsidRPr="00E46810">
        <w:t>;</w:t>
      </w:r>
      <w:r w:rsidRPr="00E46810">
        <w:t xml:space="preserve"> </w:t>
      </w:r>
    </w:p>
    <w:p w14:paraId="15081A4C" w14:textId="77777777" w:rsidR="003E75A8" w:rsidRDefault="003E75A8" w:rsidP="003E75A8">
      <w:pPr>
        <w:tabs>
          <w:tab w:val="left" w:pos="993"/>
          <w:tab w:val="left" w:pos="1276"/>
        </w:tabs>
      </w:pPr>
    </w:p>
    <w:p w14:paraId="6CFF2857" w14:textId="7D9D549C" w:rsidR="008D75F7" w:rsidRDefault="0044547C" w:rsidP="003E75A8">
      <w:pPr>
        <w:pStyle w:val="Prrafodelista"/>
        <w:numPr>
          <w:ilvl w:val="0"/>
          <w:numId w:val="27"/>
        </w:numPr>
        <w:tabs>
          <w:tab w:val="left" w:pos="993"/>
        </w:tabs>
        <w:ind w:left="426" w:firstLine="0"/>
      </w:pPr>
      <w:r>
        <w:t>¿</w:t>
      </w:r>
      <w:r w:rsidR="005E1926">
        <w:t>E</w:t>
      </w:r>
      <w:r w:rsidR="00C06284">
        <w:t>n qué estado procesal se encuentran los 66 casos de justicia transicional en documentación?</w:t>
      </w:r>
    </w:p>
    <w:p w14:paraId="117D8D31" w14:textId="77777777" w:rsidR="00827AF0" w:rsidRDefault="00827AF0" w:rsidP="008D75F7"/>
    <w:p w14:paraId="189E3B4A" w14:textId="13DB7A5E" w:rsidR="00827AF0" w:rsidRPr="00FB7EFF" w:rsidRDefault="00827AF0" w:rsidP="008D75F7">
      <w:r>
        <w:t xml:space="preserve">Además de lo anterior, en la </w:t>
      </w:r>
      <w:r w:rsidR="005E1926">
        <w:t xml:space="preserve">mencionada </w:t>
      </w:r>
      <w:r>
        <w:t>jornada de trabajo interinstitucional</w:t>
      </w:r>
      <w:r w:rsidR="00FD6157">
        <w:t xml:space="preserve"> la Procuraduría informó que son 126 los casos del </w:t>
      </w:r>
      <w:r w:rsidR="00FD6157" w:rsidRPr="003F42D6">
        <w:rPr>
          <w:b/>
        </w:rPr>
        <w:t>Auto 009 de 2015</w:t>
      </w:r>
      <w:r w:rsidR="00FD6157">
        <w:t xml:space="preserve"> con agencias especiales, y no 130 como señaló en la respuesta al </w:t>
      </w:r>
      <w:r w:rsidR="00FD6157" w:rsidRPr="003F42D6">
        <w:rPr>
          <w:b/>
        </w:rPr>
        <w:t>Auto 737 de 2017</w:t>
      </w:r>
      <w:r w:rsidR="00FD6157">
        <w:t xml:space="preserve"> remitida a est</w:t>
      </w:r>
      <w:r w:rsidR="003F42D6">
        <w:t xml:space="preserve">a Sala Especial en mayo de 2018, por lo cual se le solicitará aclarar en </w:t>
      </w:r>
      <w:r w:rsidR="003F42D6">
        <w:lastRenderedPageBreak/>
        <w:t xml:space="preserve">cuántos casos de los anexos reservados de los </w:t>
      </w:r>
      <w:r w:rsidR="003F42D6" w:rsidRPr="003F42D6">
        <w:rPr>
          <w:b/>
        </w:rPr>
        <w:t>Autos 092 de 2008 y 009 de 2015</w:t>
      </w:r>
      <w:r w:rsidR="003F42D6">
        <w:t>, ese ente de control tiene constituida agencia especial</w:t>
      </w:r>
      <w:r w:rsidR="004716B4">
        <w:t>.</w:t>
      </w:r>
    </w:p>
    <w:p w14:paraId="7AD5FCD9" w14:textId="77777777" w:rsidR="003322E7" w:rsidRDefault="003322E7" w:rsidP="00BB64EF">
      <w:pPr>
        <w:pStyle w:val="Prrafodelista"/>
        <w:tabs>
          <w:tab w:val="left" w:pos="567"/>
        </w:tabs>
        <w:ind w:left="0"/>
        <w:rPr>
          <w:b/>
          <w:i/>
        </w:rPr>
      </w:pPr>
    </w:p>
    <w:p w14:paraId="01711778" w14:textId="013869B7" w:rsidR="005E1926" w:rsidRPr="00385456" w:rsidRDefault="00630254" w:rsidP="003A7DB8">
      <w:pPr>
        <w:pStyle w:val="Prrafodelista"/>
        <w:numPr>
          <w:ilvl w:val="0"/>
          <w:numId w:val="28"/>
        </w:numPr>
        <w:tabs>
          <w:tab w:val="left" w:pos="567"/>
        </w:tabs>
        <w:ind w:left="0" w:firstLine="0"/>
        <w:rPr>
          <w:i/>
          <w:u w:val="single"/>
        </w:rPr>
      </w:pPr>
      <w:r w:rsidRPr="00385456">
        <w:t>Tal como se muestra en las T</w:t>
      </w:r>
      <w:r w:rsidR="00752517" w:rsidRPr="00385456">
        <w:t xml:space="preserve">ablas 3 y 6, la información de la Fiscalía General de la Nación y de la Procuraduría </w:t>
      </w:r>
      <w:r w:rsidR="0025038A" w:rsidRPr="00385456">
        <w:t xml:space="preserve">General de la Nación </w:t>
      </w:r>
      <w:r w:rsidR="00E46810" w:rsidRPr="00385456">
        <w:t xml:space="preserve">sobre el estado procesal de los casos de los anexos reservados </w:t>
      </w:r>
      <w:r w:rsidR="0025038A" w:rsidRPr="00385456">
        <w:t>no es comparable</w:t>
      </w:r>
      <w:r w:rsidR="00E46810" w:rsidRPr="00385456">
        <w:t xml:space="preserve">. Por lo anterior, esta Sala espera que, a partir del traslado de las respuestas al </w:t>
      </w:r>
      <w:r w:rsidR="00E46810" w:rsidRPr="00385456">
        <w:rPr>
          <w:b/>
        </w:rPr>
        <w:t>Auto 737 de 2017</w:t>
      </w:r>
      <w:r w:rsidR="00E46810" w:rsidRPr="00385456">
        <w:t xml:space="preserve"> que se ordena en esta providencia, ambas entidades respondan, con mayor precisión y claridad, las preguntas que aquí se les formulan.</w:t>
      </w:r>
    </w:p>
    <w:p w14:paraId="626E344A" w14:textId="77777777" w:rsidR="00E46810" w:rsidRPr="00E46810" w:rsidRDefault="00E46810" w:rsidP="00E46810">
      <w:pPr>
        <w:pStyle w:val="Prrafodelista"/>
        <w:tabs>
          <w:tab w:val="left" w:pos="567"/>
        </w:tabs>
        <w:ind w:left="0"/>
        <w:rPr>
          <w:i/>
          <w:u w:val="single"/>
        </w:rPr>
      </w:pPr>
    </w:p>
    <w:p w14:paraId="2E02B4FB" w14:textId="43371760" w:rsidR="00262BC4" w:rsidRDefault="00262BC4" w:rsidP="00BB64EF">
      <w:pPr>
        <w:pStyle w:val="Prrafodelista"/>
        <w:tabs>
          <w:tab w:val="left" w:pos="567"/>
        </w:tabs>
        <w:ind w:left="0"/>
        <w:rPr>
          <w:b/>
          <w:i/>
        </w:rPr>
      </w:pPr>
      <w:r>
        <w:rPr>
          <w:b/>
          <w:i/>
        </w:rPr>
        <w:t>Respuesta de la UARIV</w:t>
      </w:r>
      <w:r w:rsidR="00127ADC">
        <w:rPr>
          <w:b/>
          <w:i/>
        </w:rPr>
        <w:t xml:space="preserve"> al Auto 737 de 2017</w:t>
      </w:r>
    </w:p>
    <w:p w14:paraId="33889265" w14:textId="77777777" w:rsidR="00127ADC" w:rsidRDefault="00127ADC" w:rsidP="00BB64EF">
      <w:pPr>
        <w:pStyle w:val="Prrafodelista"/>
        <w:tabs>
          <w:tab w:val="left" w:pos="567"/>
        </w:tabs>
        <w:ind w:left="0"/>
        <w:rPr>
          <w:b/>
          <w:i/>
        </w:rPr>
      </w:pPr>
    </w:p>
    <w:p w14:paraId="56B2C7E9" w14:textId="0301E57A" w:rsidR="007E5826" w:rsidRPr="007E5826" w:rsidRDefault="00241862" w:rsidP="003A7DB8">
      <w:pPr>
        <w:pStyle w:val="Prrafodelista"/>
        <w:numPr>
          <w:ilvl w:val="0"/>
          <w:numId w:val="28"/>
        </w:numPr>
        <w:tabs>
          <w:tab w:val="left" w:pos="567"/>
        </w:tabs>
        <w:ind w:left="0" w:firstLine="0"/>
      </w:pPr>
      <w:r>
        <w:t xml:space="preserve"> </w:t>
      </w:r>
      <w:r w:rsidR="007E5826" w:rsidRPr="00181A66">
        <w:rPr>
          <w:rFonts w:cs="Times New Roman"/>
          <w:szCs w:val="28"/>
        </w:rPr>
        <w:t>El 25 de junio de 2018</w:t>
      </w:r>
      <w:r w:rsidR="00385456">
        <w:rPr>
          <w:rFonts w:cs="Times New Roman"/>
          <w:szCs w:val="28"/>
        </w:rPr>
        <w:t>,</w:t>
      </w:r>
      <w:r w:rsidR="005F4945">
        <w:rPr>
          <w:rFonts w:cs="Times New Roman"/>
          <w:szCs w:val="28"/>
        </w:rPr>
        <w:t xml:space="preserve"> </w:t>
      </w:r>
      <w:r w:rsidR="007E5826" w:rsidRPr="00181A66">
        <w:rPr>
          <w:rFonts w:cs="Times New Roman"/>
          <w:szCs w:val="28"/>
        </w:rPr>
        <w:t xml:space="preserve"> la </w:t>
      </w:r>
      <w:r w:rsidR="007E5826">
        <w:rPr>
          <w:rFonts w:cs="Times New Roman"/>
          <w:szCs w:val="28"/>
        </w:rPr>
        <w:t>UARIV remitió a esta Sala Especial la respuesta a la orden sexta</w:t>
      </w:r>
      <w:r w:rsidR="007E5826" w:rsidRPr="00181A66">
        <w:rPr>
          <w:rFonts w:cs="Times New Roman"/>
          <w:szCs w:val="28"/>
        </w:rPr>
        <w:t xml:space="preserve"> del </w:t>
      </w:r>
      <w:r w:rsidR="007E5826" w:rsidRPr="00C92E1D">
        <w:rPr>
          <w:rFonts w:cs="Times New Roman"/>
          <w:b/>
          <w:szCs w:val="28"/>
        </w:rPr>
        <w:t>Auto 737 de 2017</w:t>
      </w:r>
      <w:r w:rsidR="007E5826" w:rsidRPr="00181A66">
        <w:rPr>
          <w:rFonts w:cs="Times New Roman"/>
          <w:szCs w:val="28"/>
        </w:rPr>
        <w:t xml:space="preserve">, que </w:t>
      </w:r>
      <w:r w:rsidR="007E5826">
        <w:rPr>
          <w:rFonts w:cs="Times New Roman"/>
          <w:szCs w:val="28"/>
        </w:rPr>
        <w:t xml:space="preserve">solicitó información sobre </w:t>
      </w:r>
      <w:r w:rsidR="007E5826" w:rsidRPr="007E5826">
        <w:rPr>
          <w:szCs w:val="28"/>
        </w:rPr>
        <w:t xml:space="preserve">los 600 casos relacionados en el </w:t>
      </w:r>
      <w:r w:rsidR="007E5826" w:rsidRPr="007E5826">
        <w:rPr>
          <w:b/>
          <w:szCs w:val="28"/>
        </w:rPr>
        <w:t>Auto 092 de 2008</w:t>
      </w:r>
      <w:r w:rsidR="007E5826">
        <w:rPr>
          <w:szCs w:val="28"/>
        </w:rPr>
        <w:t xml:space="preserve"> y con los casos incluidos en </w:t>
      </w:r>
      <w:r w:rsidR="007E5826" w:rsidRPr="007E5826">
        <w:rPr>
          <w:szCs w:val="28"/>
        </w:rPr>
        <w:t xml:space="preserve">su </w:t>
      </w:r>
      <w:r w:rsidR="007E5826">
        <w:rPr>
          <w:szCs w:val="28"/>
        </w:rPr>
        <w:t>anexo reservado.</w:t>
      </w:r>
      <w:r w:rsidR="007E5826" w:rsidRPr="007E5826">
        <w:rPr>
          <w:szCs w:val="28"/>
        </w:rPr>
        <w:t xml:space="preserve"> </w:t>
      </w:r>
      <w:r w:rsidR="007E5826">
        <w:rPr>
          <w:szCs w:val="28"/>
        </w:rPr>
        <w:t xml:space="preserve">Al respecto, se </w:t>
      </w:r>
      <w:r w:rsidR="00E87907">
        <w:rPr>
          <w:szCs w:val="28"/>
        </w:rPr>
        <w:t xml:space="preserve">refirió </w:t>
      </w:r>
      <w:r w:rsidR="007E5826">
        <w:rPr>
          <w:szCs w:val="28"/>
        </w:rPr>
        <w:t xml:space="preserve">a </w:t>
      </w:r>
      <w:r w:rsidR="007E5826">
        <w:rPr>
          <w:rFonts w:cs="Times New Roman"/>
          <w:szCs w:val="28"/>
        </w:rPr>
        <w:t>las mujeres</w:t>
      </w:r>
      <w:r w:rsidR="007E5826" w:rsidRPr="00181A66">
        <w:rPr>
          <w:rFonts w:cs="Times New Roman"/>
          <w:szCs w:val="28"/>
        </w:rPr>
        <w:t xml:space="preserve"> a quienes se le</w:t>
      </w:r>
      <w:r w:rsidR="005F4945">
        <w:rPr>
          <w:rFonts w:cs="Times New Roman"/>
          <w:szCs w:val="28"/>
        </w:rPr>
        <w:t>s</w:t>
      </w:r>
      <w:r w:rsidR="007E5826" w:rsidRPr="00181A66">
        <w:rPr>
          <w:rFonts w:cs="Times New Roman"/>
          <w:szCs w:val="28"/>
        </w:rPr>
        <w:t xml:space="preserve"> ha realizado entrevista única, </w:t>
      </w:r>
      <w:r w:rsidR="007E5826">
        <w:rPr>
          <w:rFonts w:cs="Times New Roman"/>
          <w:szCs w:val="28"/>
        </w:rPr>
        <w:t xml:space="preserve">quienes han recibido </w:t>
      </w:r>
      <w:r w:rsidR="007E5826" w:rsidRPr="00181A66">
        <w:rPr>
          <w:rFonts w:cs="Times New Roman"/>
          <w:szCs w:val="28"/>
        </w:rPr>
        <w:t>asistencia y ayuda humanitaria</w:t>
      </w:r>
      <w:r w:rsidR="00E87907">
        <w:rPr>
          <w:rFonts w:cs="Times New Roman"/>
          <w:szCs w:val="28"/>
        </w:rPr>
        <w:t xml:space="preserve"> y </w:t>
      </w:r>
      <w:r w:rsidR="007E5826">
        <w:rPr>
          <w:rFonts w:cs="Times New Roman"/>
          <w:szCs w:val="28"/>
        </w:rPr>
        <w:t>quienes han obtenido algún tipo de recuperación simbólica y</w:t>
      </w:r>
      <w:r w:rsidR="007E5826" w:rsidRPr="00181A66">
        <w:rPr>
          <w:rFonts w:cs="Times New Roman"/>
          <w:szCs w:val="28"/>
        </w:rPr>
        <w:t xml:space="preserve"> medidas de indemnización, rehabili</w:t>
      </w:r>
      <w:r w:rsidR="007E5826">
        <w:rPr>
          <w:rFonts w:cs="Times New Roman"/>
          <w:szCs w:val="28"/>
        </w:rPr>
        <w:t>tación y recuperación emocional.</w:t>
      </w:r>
    </w:p>
    <w:p w14:paraId="5C67C5F9" w14:textId="77777777" w:rsidR="007E5826" w:rsidRDefault="007E5826" w:rsidP="007E5826">
      <w:pPr>
        <w:pStyle w:val="Prrafodelista"/>
        <w:tabs>
          <w:tab w:val="left" w:pos="567"/>
        </w:tabs>
        <w:ind w:left="0"/>
        <w:rPr>
          <w:szCs w:val="28"/>
        </w:rPr>
      </w:pPr>
    </w:p>
    <w:p w14:paraId="67C580CB" w14:textId="35239CB9" w:rsidR="007E5826" w:rsidRDefault="007E5826" w:rsidP="007E5826">
      <w:pPr>
        <w:pStyle w:val="Prrafodelista"/>
        <w:tabs>
          <w:tab w:val="left" w:pos="567"/>
        </w:tabs>
        <w:ind w:left="0"/>
        <w:rPr>
          <w:szCs w:val="28"/>
        </w:rPr>
      </w:pPr>
      <w:r>
        <w:rPr>
          <w:szCs w:val="28"/>
        </w:rPr>
        <w:t xml:space="preserve">Con relación al </w:t>
      </w:r>
      <w:r w:rsidR="00416613">
        <w:rPr>
          <w:szCs w:val="28"/>
        </w:rPr>
        <w:t>número de personas implicadas en el anexo reservado, la UARIV sostuvo lo siguiente:</w:t>
      </w:r>
    </w:p>
    <w:p w14:paraId="40600339" w14:textId="77777777" w:rsidR="00416613" w:rsidRDefault="00416613" w:rsidP="007E5826">
      <w:pPr>
        <w:pStyle w:val="Prrafodelista"/>
        <w:tabs>
          <w:tab w:val="left" w:pos="567"/>
        </w:tabs>
        <w:ind w:left="0"/>
        <w:rPr>
          <w:szCs w:val="28"/>
        </w:rPr>
      </w:pPr>
    </w:p>
    <w:p w14:paraId="1422B993" w14:textId="0BF80610" w:rsidR="007E5826" w:rsidRDefault="00416613" w:rsidP="00416613">
      <w:pPr>
        <w:pStyle w:val="Prrafodelista"/>
        <w:tabs>
          <w:tab w:val="left" w:pos="567"/>
        </w:tabs>
        <w:ind w:left="567" w:right="618"/>
        <w:rPr>
          <w:sz w:val="24"/>
          <w:szCs w:val="28"/>
        </w:rPr>
      </w:pPr>
      <w:r w:rsidRPr="00416613">
        <w:rPr>
          <w:rFonts w:cs="Times New Roman"/>
          <w:sz w:val="24"/>
          <w:szCs w:val="28"/>
        </w:rPr>
        <w:t>“</w:t>
      </w:r>
      <w:r w:rsidRPr="00416613">
        <w:rPr>
          <w:rFonts w:cs="Times New Roman"/>
          <w:i/>
          <w:sz w:val="24"/>
          <w:szCs w:val="28"/>
        </w:rPr>
        <w:t>En relación con el anexo de Auto 092 de 2008, si bien la Corte Constitucional ha reportado 183 casos, se cuenta que este no es el universo definitivo por identificar, así, por ejemplo, se menciona en el anexo que existen más víctimas, sin embargo, no se individualizaron cuantas son. Actualmente, se tiene una cifra aproximada de 296 mujeres, las cuales 145 mujeres han sido identificadas y 151 mujeres se encuentran sin identificar plenamente”</w:t>
      </w:r>
      <w:r w:rsidRPr="00416613">
        <w:rPr>
          <w:rStyle w:val="Refdenotaalpie"/>
          <w:rFonts w:cs="Times New Roman"/>
          <w:i/>
          <w:sz w:val="24"/>
          <w:szCs w:val="28"/>
        </w:rPr>
        <w:t xml:space="preserve"> </w:t>
      </w:r>
      <w:r w:rsidRPr="00416613">
        <w:rPr>
          <w:rStyle w:val="Refdenotaalpie"/>
          <w:rFonts w:cs="Times New Roman"/>
          <w:i/>
          <w:sz w:val="24"/>
          <w:szCs w:val="28"/>
        </w:rPr>
        <w:footnoteReference w:id="23"/>
      </w:r>
      <w:r>
        <w:rPr>
          <w:sz w:val="24"/>
          <w:szCs w:val="28"/>
        </w:rPr>
        <w:t>.</w:t>
      </w:r>
    </w:p>
    <w:p w14:paraId="7C9AD100" w14:textId="77777777" w:rsidR="00416613" w:rsidRDefault="00416613" w:rsidP="00416613">
      <w:pPr>
        <w:tabs>
          <w:tab w:val="left" w:pos="567"/>
        </w:tabs>
        <w:ind w:right="618"/>
        <w:rPr>
          <w:sz w:val="24"/>
          <w:szCs w:val="28"/>
        </w:rPr>
      </w:pPr>
    </w:p>
    <w:p w14:paraId="09EA03CD" w14:textId="3A48428C" w:rsidR="00296DBF" w:rsidRDefault="00416613" w:rsidP="003D7F3F">
      <w:pPr>
        <w:pStyle w:val="Default"/>
        <w:jc w:val="both"/>
        <w:rPr>
          <w:rFonts w:eastAsiaTheme="minorEastAsia" w:cstheme="minorBidi"/>
          <w:color w:val="auto"/>
          <w:sz w:val="28"/>
          <w:szCs w:val="28"/>
        </w:rPr>
      </w:pPr>
      <w:r w:rsidRPr="003D7F3F">
        <w:rPr>
          <w:rFonts w:eastAsiaTheme="minorEastAsia" w:cstheme="minorBidi"/>
          <w:color w:val="auto"/>
          <w:sz w:val="28"/>
          <w:szCs w:val="28"/>
        </w:rPr>
        <w:t xml:space="preserve">De las </w:t>
      </w:r>
      <w:r w:rsidR="003D7F3F" w:rsidRPr="003D7F3F">
        <w:rPr>
          <w:rFonts w:eastAsiaTheme="minorEastAsia" w:cstheme="minorBidi"/>
          <w:color w:val="auto"/>
          <w:sz w:val="28"/>
          <w:szCs w:val="28"/>
        </w:rPr>
        <w:t>145</w:t>
      </w:r>
      <w:r w:rsidRPr="003D7F3F">
        <w:rPr>
          <w:rFonts w:eastAsiaTheme="minorEastAsia" w:cstheme="minorBidi"/>
          <w:color w:val="auto"/>
          <w:sz w:val="28"/>
          <w:szCs w:val="28"/>
        </w:rPr>
        <w:t xml:space="preserve"> mujeres identificadas, con corte a 30 de abril de 2018, </w:t>
      </w:r>
      <w:r w:rsidR="00E87907">
        <w:rPr>
          <w:rFonts w:eastAsiaTheme="minorEastAsia" w:cstheme="minorBidi"/>
          <w:color w:val="auto"/>
          <w:sz w:val="28"/>
          <w:szCs w:val="28"/>
        </w:rPr>
        <w:t xml:space="preserve">solo </w:t>
      </w:r>
      <w:r w:rsidRPr="003D7F3F">
        <w:rPr>
          <w:rFonts w:eastAsiaTheme="minorEastAsia" w:cstheme="minorBidi"/>
          <w:color w:val="auto"/>
          <w:sz w:val="28"/>
          <w:szCs w:val="28"/>
        </w:rPr>
        <w:t>123 se encuentran incluidas en el Registro Único de Víctimas (RUV)</w:t>
      </w:r>
      <w:r w:rsidR="003D7F3F" w:rsidRPr="003D7F3F">
        <w:rPr>
          <w:rFonts w:eastAsiaTheme="minorEastAsia" w:cstheme="minorBidi"/>
          <w:color w:val="auto"/>
          <w:sz w:val="28"/>
          <w:szCs w:val="28"/>
        </w:rPr>
        <w:t xml:space="preserve">, esto por las siguientes razones: </w:t>
      </w:r>
      <w:r w:rsidR="003D7F3F">
        <w:rPr>
          <w:rFonts w:eastAsiaTheme="minorEastAsia" w:cstheme="minorBidi"/>
          <w:color w:val="auto"/>
          <w:sz w:val="28"/>
          <w:szCs w:val="28"/>
        </w:rPr>
        <w:t>“</w:t>
      </w:r>
      <w:r w:rsidR="003D7F3F" w:rsidRPr="003D7F3F">
        <w:rPr>
          <w:rFonts w:eastAsiaTheme="minorEastAsia" w:cstheme="minorBidi"/>
          <w:i/>
          <w:color w:val="auto"/>
          <w:sz w:val="28"/>
          <w:szCs w:val="28"/>
        </w:rPr>
        <w:t>i) mujeres No Incluidas (6 mujeres); ii) no cruza por documentos de identidad en el RUV (16 mujeres)</w:t>
      </w:r>
      <w:r w:rsidR="003D7F3F">
        <w:rPr>
          <w:rFonts w:eastAsiaTheme="minorEastAsia" w:cstheme="minorBidi"/>
          <w:color w:val="auto"/>
          <w:sz w:val="28"/>
          <w:szCs w:val="28"/>
        </w:rPr>
        <w:t>”</w:t>
      </w:r>
      <w:r w:rsidR="003D7F3F">
        <w:rPr>
          <w:rStyle w:val="Refdenotaalpie"/>
          <w:rFonts w:eastAsiaTheme="minorEastAsia" w:cstheme="minorBidi"/>
          <w:color w:val="auto"/>
          <w:sz w:val="28"/>
          <w:szCs w:val="28"/>
        </w:rPr>
        <w:footnoteReference w:id="24"/>
      </w:r>
      <w:r w:rsidR="003D7F3F">
        <w:rPr>
          <w:rFonts w:eastAsiaTheme="minorEastAsia" w:cstheme="minorBidi"/>
          <w:color w:val="auto"/>
          <w:sz w:val="28"/>
          <w:szCs w:val="28"/>
        </w:rPr>
        <w:t xml:space="preserve">. </w:t>
      </w:r>
    </w:p>
    <w:p w14:paraId="34E369E4" w14:textId="77777777" w:rsidR="00296DBF" w:rsidRDefault="00296DBF" w:rsidP="003D7F3F">
      <w:pPr>
        <w:pStyle w:val="Default"/>
        <w:jc w:val="both"/>
        <w:rPr>
          <w:rFonts w:eastAsiaTheme="minorEastAsia" w:cstheme="minorBidi"/>
          <w:color w:val="auto"/>
          <w:sz w:val="28"/>
          <w:szCs w:val="28"/>
        </w:rPr>
      </w:pPr>
    </w:p>
    <w:p w14:paraId="1512855A" w14:textId="5345B96A" w:rsidR="00866C7C" w:rsidRDefault="00296DBF" w:rsidP="003D7F3F">
      <w:pPr>
        <w:pStyle w:val="Default"/>
        <w:jc w:val="both"/>
        <w:rPr>
          <w:rFonts w:eastAsiaTheme="minorEastAsia" w:cstheme="minorBidi"/>
          <w:color w:val="auto"/>
          <w:sz w:val="28"/>
          <w:szCs w:val="28"/>
        </w:rPr>
      </w:pPr>
      <w:r>
        <w:rPr>
          <w:rFonts w:eastAsiaTheme="minorEastAsia" w:cstheme="minorBidi"/>
          <w:color w:val="auto"/>
          <w:sz w:val="28"/>
          <w:szCs w:val="28"/>
        </w:rPr>
        <w:t>De conformidad con el escrito remitido por la UARIV, de las 123 mujeres incluidas en el RUV</w:t>
      </w:r>
      <w:r w:rsidR="00E87907">
        <w:rPr>
          <w:rFonts w:eastAsiaTheme="minorEastAsia" w:cstheme="minorBidi"/>
          <w:color w:val="auto"/>
          <w:sz w:val="28"/>
          <w:szCs w:val="28"/>
        </w:rPr>
        <w:t>,</w:t>
      </w:r>
      <w:r>
        <w:rPr>
          <w:rFonts w:eastAsiaTheme="minorEastAsia" w:cstheme="minorBidi"/>
          <w:color w:val="auto"/>
          <w:sz w:val="28"/>
          <w:szCs w:val="28"/>
        </w:rPr>
        <w:t xml:space="preserve"> 92 se encuentran por desplazamiento forzado y 51 de ellas han recibido giros de atención humanitaria desde el año 2012, mientras </w:t>
      </w:r>
      <w:r w:rsidR="00E87907">
        <w:rPr>
          <w:rFonts w:eastAsiaTheme="minorEastAsia" w:cstheme="minorBidi"/>
          <w:color w:val="auto"/>
          <w:sz w:val="28"/>
          <w:szCs w:val="28"/>
        </w:rPr>
        <w:t xml:space="preserve">que </w:t>
      </w:r>
      <w:r>
        <w:rPr>
          <w:rFonts w:eastAsiaTheme="minorEastAsia" w:cstheme="minorBidi"/>
          <w:color w:val="auto"/>
          <w:sz w:val="28"/>
          <w:szCs w:val="28"/>
        </w:rPr>
        <w:t>86</w:t>
      </w:r>
      <w:r w:rsidR="00866C7C">
        <w:rPr>
          <w:rFonts w:eastAsiaTheme="minorEastAsia" w:cstheme="minorBidi"/>
          <w:color w:val="auto"/>
          <w:sz w:val="28"/>
          <w:szCs w:val="28"/>
        </w:rPr>
        <w:t xml:space="preserve"> mujeres</w:t>
      </w:r>
      <w:r>
        <w:rPr>
          <w:rFonts w:eastAsiaTheme="minorEastAsia" w:cstheme="minorBidi"/>
          <w:color w:val="auto"/>
          <w:sz w:val="28"/>
          <w:szCs w:val="28"/>
        </w:rPr>
        <w:t xml:space="preserve"> </w:t>
      </w:r>
      <w:r w:rsidR="00866C7C">
        <w:rPr>
          <w:rFonts w:eastAsiaTheme="minorEastAsia" w:cstheme="minorBidi"/>
          <w:color w:val="auto"/>
          <w:sz w:val="28"/>
          <w:szCs w:val="28"/>
        </w:rPr>
        <w:t xml:space="preserve">están incluidas por hechos distintos al desplazamiento forzado y, de </w:t>
      </w:r>
      <w:r w:rsidR="00064D93">
        <w:rPr>
          <w:rFonts w:eastAsiaTheme="minorEastAsia" w:cstheme="minorBidi"/>
          <w:color w:val="auto"/>
          <w:sz w:val="28"/>
          <w:szCs w:val="28"/>
        </w:rPr>
        <w:t>aquellas</w:t>
      </w:r>
      <w:r w:rsidR="00866C7C">
        <w:rPr>
          <w:rFonts w:eastAsiaTheme="minorEastAsia" w:cstheme="minorBidi"/>
          <w:color w:val="auto"/>
          <w:sz w:val="28"/>
          <w:szCs w:val="28"/>
        </w:rPr>
        <w:t xml:space="preserve">, solo </w:t>
      </w:r>
      <w:r w:rsidR="00064D93">
        <w:rPr>
          <w:rFonts w:eastAsiaTheme="minorEastAsia" w:cstheme="minorBidi"/>
          <w:color w:val="auto"/>
          <w:sz w:val="28"/>
          <w:szCs w:val="28"/>
        </w:rPr>
        <w:t>dos</w:t>
      </w:r>
      <w:r w:rsidR="00866C7C">
        <w:rPr>
          <w:rFonts w:eastAsiaTheme="minorEastAsia" w:cstheme="minorBidi"/>
          <w:color w:val="auto"/>
          <w:sz w:val="28"/>
          <w:szCs w:val="28"/>
        </w:rPr>
        <w:t xml:space="preserve"> han recibido pagos por concepto de ayuda humanitaria, en tanto las demás no cumplen los requisitos establecidos en la Resolución 2349 de 2012.</w:t>
      </w:r>
    </w:p>
    <w:p w14:paraId="493E88FC" w14:textId="77777777" w:rsidR="00866C7C" w:rsidRDefault="00866C7C" w:rsidP="003D7F3F">
      <w:pPr>
        <w:pStyle w:val="Default"/>
        <w:jc w:val="both"/>
        <w:rPr>
          <w:rFonts w:eastAsiaTheme="minorEastAsia" w:cstheme="minorBidi"/>
          <w:color w:val="auto"/>
          <w:sz w:val="28"/>
          <w:szCs w:val="28"/>
        </w:rPr>
      </w:pPr>
    </w:p>
    <w:p w14:paraId="4C6DAC5A" w14:textId="41CC705B" w:rsidR="00866C7C" w:rsidRDefault="00296DBF" w:rsidP="003D7F3F">
      <w:pPr>
        <w:pStyle w:val="Default"/>
        <w:jc w:val="both"/>
        <w:rPr>
          <w:sz w:val="28"/>
          <w:szCs w:val="28"/>
        </w:rPr>
      </w:pPr>
      <w:r>
        <w:rPr>
          <w:rFonts w:eastAsiaTheme="minorEastAsia" w:cstheme="minorBidi"/>
          <w:color w:val="auto"/>
          <w:sz w:val="28"/>
          <w:szCs w:val="28"/>
        </w:rPr>
        <w:t xml:space="preserve">Además, </w:t>
      </w:r>
      <w:r w:rsidR="00866C7C">
        <w:rPr>
          <w:rFonts w:eastAsiaTheme="minorEastAsia" w:cstheme="minorBidi"/>
          <w:color w:val="auto"/>
          <w:sz w:val="28"/>
          <w:szCs w:val="28"/>
        </w:rPr>
        <w:t xml:space="preserve">la UARIV informó que, </w:t>
      </w:r>
      <w:r>
        <w:rPr>
          <w:rFonts w:eastAsiaTheme="minorEastAsia" w:cstheme="minorBidi"/>
          <w:color w:val="auto"/>
          <w:sz w:val="28"/>
          <w:szCs w:val="28"/>
        </w:rPr>
        <w:t>de las 123 mujeres incluidas en el RUV, 49 cuentan con entrevista única formulada en el periodo 2015-2019</w:t>
      </w:r>
      <w:r w:rsidR="00F0123F">
        <w:rPr>
          <w:rFonts w:eastAsiaTheme="minorEastAsia" w:cstheme="minorBidi"/>
          <w:color w:val="auto"/>
          <w:sz w:val="28"/>
          <w:szCs w:val="28"/>
        </w:rPr>
        <w:t xml:space="preserve"> </w:t>
      </w:r>
      <w:r w:rsidR="00F0123F" w:rsidRPr="00F0123F">
        <w:rPr>
          <w:rFonts w:eastAsiaTheme="minorEastAsia" w:cstheme="minorBidi"/>
          <w:color w:val="auto"/>
          <w:sz w:val="28"/>
          <w:szCs w:val="28"/>
        </w:rPr>
        <w:t>y</w:t>
      </w:r>
      <w:r w:rsidR="00866C7C" w:rsidRPr="00F0123F">
        <w:rPr>
          <w:sz w:val="28"/>
          <w:szCs w:val="28"/>
        </w:rPr>
        <w:t xml:space="preserve"> </w:t>
      </w:r>
      <w:r w:rsidR="00064D93">
        <w:rPr>
          <w:sz w:val="28"/>
          <w:szCs w:val="28"/>
        </w:rPr>
        <w:t>tres</w:t>
      </w:r>
      <w:r w:rsidR="00866C7C" w:rsidRPr="00F0123F">
        <w:rPr>
          <w:sz w:val="28"/>
          <w:szCs w:val="28"/>
        </w:rPr>
        <w:t xml:space="preserve"> han recibido</w:t>
      </w:r>
      <w:r w:rsidR="00F0123F" w:rsidRPr="00F0123F">
        <w:rPr>
          <w:sz w:val="28"/>
          <w:szCs w:val="28"/>
        </w:rPr>
        <w:t xml:space="preserve"> medida de indemnización</w:t>
      </w:r>
      <w:r w:rsidR="00866C7C" w:rsidRPr="00F0123F">
        <w:rPr>
          <w:sz w:val="28"/>
          <w:szCs w:val="28"/>
        </w:rPr>
        <w:t xml:space="preserve"> por el hecho de desplazamiento forzado, </w:t>
      </w:r>
      <w:r w:rsidR="00F0123F" w:rsidRPr="00F0123F">
        <w:rPr>
          <w:sz w:val="28"/>
          <w:szCs w:val="28"/>
        </w:rPr>
        <w:lastRenderedPageBreak/>
        <w:t xml:space="preserve">mientras que </w:t>
      </w:r>
      <w:r w:rsidR="00866C7C" w:rsidRPr="00F0123F">
        <w:rPr>
          <w:sz w:val="28"/>
          <w:szCs w:val="28"/>
        </w:rPr>
        <w:t>29 mujeres han sido indemnizadas por delitos contra la li</w:t>
      </w:r>
      <w:r w:rsidR="00F0123F" w:rsidRPr="00F0123F">
        <w:rPr>
          <w:sz w:val="28"/>
          <w:szCs w:val="28"/>
        </w:rPr>
        <w:t xml:space="preserve">bertad e integridad sexual y </w:t>
      </w:r>
      <w:r w:rsidR="00064D93">
        <w:rPr>
          <w:sz w:val="28"/>
          <w:szCs w:val="28"/>
        </w:rPr>
        <w:t>nueve</w:t>
      </w:r>
      <w:r w:rsidR="00866C7C" w:rsidRPr="00F0123F">
        <w:rPr>
          <w:sz w:val="28"/>
          <w:szCs w:val="28"/>
        </w:rPr>
        <w:t xml:space="preserve"> han recibido indemnización por hechos diferentes.</w:t>
      </w:r>
    </w:p>
    <w:p w14:paraId="0F05E104" w14:textId="77777777" w:rsidR="00F0123F" w:rsidRDefault="00F0123F" w:rsidP="003D7F3F">
      <w:pPr>
        <w:pStyle w:val="Default"/>
        <w:jc w:val="both"/>
        <w:rPr>
          <w:sz w:val="28"/>
          <w:szCs w:val="28"/>
        </w:rPr>
      </w:pPr>
    </w:p>
    <w:p w14:paraId="614C035C" w14:textId="5AFF367D" w:rsidR="001C3211" w:rsidRDefault="00F0123F" w:rsidP="003D7F3F">
      <w:pPr>
        <w:pStyle w:val="Default"/>
        <w:jc w:val="both"/>
        <w:rPr>
          <w:sz w:val="28"/>
          <w:szCs w:val="28"/>
        </w:rPr>
      </w:pPr>
      <w:r>
        <w:rPr>
          <w:sz w:val="28"/>
          <w:szCs w:val="28"/>
        </w:rPr>
        <w:t xml:space="preserve">La respuesta al </w:t>
      </w:r>
      <w:r w:rsidRPr="00F0123F">
        <w:rPr>
          <w:b/>
          <w:sz w:val="28"/>
          <w:szCs w:val="28"/>
        </w:rPr>
        <w:t>Auto 737 de 2017</w:t>
      </w:r>
      <w:r>
        <w:rPr>
          <w:sz w:val="28"/>
          <w:szCs w:val="28"/>
        </w:rPr>
        <w:t xml:space="preserve"> tambi</w:t>
      </w:r>
      <w:r w:rsidR="001C3211">
        <w:rPr>
          <w:sz w:val="28"/>
          <w:szCs w:val="28"/>
        </w:rPr>
        <w:t>én reportó</w:t>
      </w:r>
      <w:r>
        <w:rPr>
          <w:sz w:val="28"/>
          <w:szCs w:val="28"/>
        </w:rPr>
        <w:t xml:space="preserve"> que </w:t>
      </w:r>
      <w:r w:rsidR="00064D93">
        <w:rPr>
          <w:sz w:val="28"/>
          <w:szCs w:val="28"/>
        </w:rPr>
        <w:t>diez</w:t>
      </w:r>
      <w:r>
        <w:rPr>
          <w:sz w:val="28"/>
          <w:szCs w:val="28"/>
        </w:rPr>
        <w:t xml:space="preserve"> mujeres que hacen parte del anexo reservado del </w:t>
      </w:r>
      <w:r w:rsidRPr="00F0123F">
        <w:rPr>
          <w:b/>
          <w:sz w:val="28"/>
          <w:szCs w:val="28"/>
        </w:rPr>
        <w:t>Auto 092 de 2008</w:t>
      </w:r>
      <w:r>
        <w:rPr>
          <w:sz w:val="28"/>
          <w:szCs w:val="28"/>
        </w:rPr>
        <w:t xml:space="preserve"> participaron en la </w:t>
      </w:r>
      <w:r w:rsidRPr="00F0123F">
        <w:rPr>
          <w:sz w:val="28"/>
          <w:szCs w:val="28"/>
        </w:rPr>
        <w:t>Estrategia de Reparación Integral a Mujer</w:t>
      </w:r>
      <w:r>
        <w:rPr>
          <w:sz w:val="28"/>
          <w:szCs w:val="28"/>
        </w:rPr>
        <w:t>es Víctimas de Violencia Sexual</w:t>
      </w:r>
      <w:r w:rsidR="00064D93">
        <w:rPr>
          <w:sz w:val="28"/>
          <w:szCs w:val="28"/>
        </w:rPr>
        <w:t xml:space="preserve"> y</w:t>
      </w:r>
      <w:r>
        <w:rPr>
          <w:sz w:val="28"/>
          <w:szCs w:val="28"/>
        </w:rPr>
        <w:t xml:space="preserve"> 43 han recibido mensaje estatal de dignificación</w:t>
      </w:r>
      <w:r>
        <w:rPr>
          <w:rStyle w:val="Refdenotaalpie"/>
          <w:sz w:val="28"/>
          <w:szCs w:val="28"/>
        </w:rPr>
        <w:footnoteReference w:id="25"/>
      </w:r>
      <w:r w:rsidR="001C3211">
        <w:rPr>
          <w:sz w:val="28"/>
          <w:szCs w:val="28"/>
        </w:rPr>
        <w:t>.</w:t>
      </w:r>
    </w:p>
    <w:p w14:paraId="2C61D9E5" w14:textId="77777777" w:rsidR="001C3211" w:rsidRDefault="001C3211" w:rsidP="003D7F3F">
      <w:pPr>
        <w:pStyle w:val="Default"/>
        <w:jc w:val="both"/>
        <w:rPr>
          <w:sz w:val="28"/>
          <w:szCs w:val="28"/>
        </w:rPr>
      </w:pPr>
    </w:p>
    <w:p w14:paraId="02C443ED" w14:textId="6A2490F5" w:rsidR="001C3211" w:rsidRPr="001C3211" w:rsidRDefault="001C3211" w:rsidP="003D7F3F">
      <w:pPr>
        <w:pStyle w:val="Default"/>
        <w:jc w:val="both"/>
        <w:rPr>
          <w:sz w:val="28"/>
          <w:szCs w:val="28"/>
        </w:rPr>
      </w:pPr>
      <w:r>
        <w:rPr>
          <w:sz w:val="28"/>
          <w:szCs w:val="28"/>
        </w:rPr>
        <w:t xml:space="preserve">Con relación a la atención psicosocial, 17 mujeres del anexo reservado del </w:t>
      </w:r>
      <w:r w:rsidRPr="001C3211">
        <w:rPr>
          <w:b/>
          <w:sz w:val="28"/>
          <w:szCs w:val="28"/>
        </w:rPr>
        <w:t>Auto 092 de 2008</w:t>
      </w:r>
      <w:r>
        <w:rPr>
          <w:sz w:val="28"/>
          <w:szCs w:val="28"/>
        </w:rPr>
        <w:t xml:space="preserve"> han sido atendidas</w:t>
      </w:r>
      <w:r w:rsidRPr="001C3211">
        <w:rPr>
          <w:sz w:val="28"/>
          <w:szCs w:val="28"/>
        </w:rPr>
        <w:t xml:space="preserve"> </w:t>
      </w:r>
      <w:r>
        <w:rPr>
          <w:sz w:val="28"/>
          <w:szCs w:val="28"/>
        </w:rPr>
        <w:t xml:space="preserve">por el PAPSIVI, mientras que </w:t>
      </w:r>
      <w:r w:rsidR="00064D93">
        <w:rPr>
          <w:sz w:val="28"/>
          <w:szCs w:val="28"/>
        </w:rPr>
        <w:t>nueve</w:t>
      </w:r>
      <w:r>
        <w:rPr>
          <w:sz w:val="28"/>
          <w:szCs w:val="28"/>
        </w:rPr>
        <w:t xml:space="preserve"> han sido </w:t>
      </w:r>
      <w:proofErr w:type="gramStart"/>
      <w:r>
        <w:rPr>
          <w:sz w:val="28"/>
          <w:szCs w:val="28"/>
        </w:rPr>
        <w:t>atendidas</w:t>
      </w:r>
      <w:proofErr w:type="gramEnd"/>
      <w:r>
        <w:rPr>
          <w:sz w:val="28"/>
          <w:szCs w:val="28"/>
        </w:rPr>
        <w:t xml:space="preserve"> por la </w:t>
      </w:r>
      <w:r w:rsidRPr="001C3211">
        <w:rPr>
          <w:sz w:val="28"/>
          <w:szCs w:val="28"/>
        </w:rPr>
        <w:t>Estrategia de Recuperación Emocional ERE-G</w:t>
      </w:r>
      <w:r>
        <w:rPr>
          <w:sz w:val="28"/>
          <w:szCs w:val="28"/>
        </w:rPr>
        <w:t xml:space="preserve"> del Ministerio de Salud y Protección Social y una por ambos programas. Finalmente, la UARIV informó que </w:t>
      </w:r>
      <w:r w:rsidR="00064D93">
        <w:rPr>
          <w:sz w:val="28"/>
          <w:szCs w:val="28"/>
        </w:rPr>
        <w:t>nueve</w:t>
      </w:r>
      <w:r>
        <w:rPr>
          <w:sz w:val="28"/>
          <w:szCs w:val="28"/>
        </w:rPr>
        <w:t xml:space="preserve"> mujeres participaron en </w:t>
      </w:r>
      <w:r w:rsidRPr="001C3211">
        <w:rPr>
          <w:sz w:val="28"/>
          <w:szCs w:val="28"/>
        </w:rPr>
        <w:t xml:space="preserve">la Estrategia de recuperación emocional a nivel grupal – EREG, 8 en talleres de inversión adecuada de los recursos, 15 en talleres de educación financiera, </w:t>
      </w:r>
      <w:r w:rsidR="00064D93">
        <w:rPr>
          <w:sz w:val="28"/>
          <w:szCs w:val="28"/>
        </w:rPr>
        <w:t>dos</w:t>
      </w:r>
      <w:r w:rsidRPr="001C3211">
        <w:rPr>
          <w:sz w:val="28"/>
          <w:szCs w:val="28"/>
        </w:rPr>
        <w:t xml:space="preserve"> en ferias integrales de servicios y 11 han recibido acompañamiento en el proceso de retorno o reubicación</w:t>
      </w:r>
      <w:r>
        <w:rPr>
          <w:sz w:val="28"/>
          <w:szCs w:val="28"/>
        </w:rPr>
        <w:t>.</w:t>
      </w:r>
    </w:p>
    <w:p w14:paraId="367EADEF" w14:textId="77777777" w:rsidR="00296DBF" w:rsidRDefault="00296DBF" w:rsidP="003D7F3F">
      <w:pPr>
        <w:pStyle w:val="Default"/>
        <w:jc w:val="both"/>
        <w:rPr>
          <w:rFonts w:eastAsiaTheme="minorEastAsia" w:cstheme="minorBidi"/>
          <w:color w:val="auto"/>
          <w:sz w:val="28"/>
          <w:szCs w:val="28"/>
        </w:rPr>
      </w:pPr>
    </w:p>
    <w:p w14:paraId="7A89ED2A" w14:textId="4A309DCE" w:rsidR="00F30D95" w:rsidRDefault="00064D93" w:rsidP="003D7F3F">
      <w:pPr>
        <w:pStyle w:val="Default"/>
        <w:jc w:val="both"/>
        <w:rPr>
          <w:rFonts w:eastAsiaTheme="minorEastAsia" w:cstheme="minorBidi"/>
          <w:color w:val="auto"/>
          <w:sz w:val="28"/>
          <w:szCs w:val="28"/>
        </w:rPr>
      </w:pPr>
      <w:r>
        <w:rPr>
          <w:rFonts w:eastAsiaTheme="minorEastAsia" w:cstheme="minorBidi"/>
          <w:color w:val="auto"/>
          <w:sz w:val="28"/>
          <w:szCs w:val="28"/>
        </w:rPr>
        <w:t>Sin embargo, para la Corte n</w:t>
      </w:r>
      <w:r w:rsidR="003D7F3F">
        <w:rPr>
          <w:rFonts w:eastAsiaTheme="minorEastAsia" w:cstheme="minorBidi"/>
          <w:color w:val="auto"/>
          <w:sz w:val="28"/>
          <w:szCs w:val="28"/>
        </w:rPr>
        <w:t xml:space="preserve">o </w:t>
      </w:r>
      <w:r w:rsidR="00E71044">
        <w:rPr>
          <w:rFonts w:eastAsiaTheme="minorEastAsia" w:cstheme="minorBidi"/>
          <w:color w:val="auto"/>
          <w:sz w:val="28"/>
          <w:szCs w:val="28"/>
        </w:rPr>
        <w:t>es</w:t>
      </w:r>
      <w:r w:rsidR="003D7F3F">
        <w:rPr>
          <w:rFonts w:eastAsiaTheme="minorEastAsia" w:cstheme="minorBidi"/>
          <w:color w:val="auto"/>
          <w:sz w:val="28"/>
          <w:szCs w:val="28"/>
        </w:rPr>
        <w:t xml:space="preserve"> claro</w:t>
      </w:r>
      <w:r>
        <w:rPr>
          <w:rFonts w:eastAsiaTheme="minorEastAsia" w:cstheme="minorBidi"/>
          <w:color w:val="auto"/>
          <w:sz w:val="28"/>
          <w:szCs w:val="28"/>
        </w:rPr>
        <w:t xml:space="preserve"> cuáles son</w:t>
      </w:r>
      <w:r w:rsidR="003D7F3F">
        <w:rPr>
          <w:rFonts w:eastAsiaTheme="minorEastAsia" w:cstheme="minorBidi"/>
          <w:color w:val="auto"/>
          <w:sz w:val="28"/>
          <w:szCs w:val="28"/>
        </w:rPr>
        <w:t xml:space="preserve"> las acciones a seguir con relación a</w:t>
      </w:r>
      <w:r>
        <w:rPr>
          <w:rFonts w:eastAsiaTheme="minorEastAsia" w:cstheme="minorBidi"/>
          <w:color w:val="auto"/>
          <w:sz w:val="28"/>
          <w:szCs w:val="28"/>
        </w:rPr>
        <w:t>:</w:t>
      </w:r>
      <w:r w:rsidR="003D7F3F">
        <w:rPr>
          <w:rFonts w:eastAsiaTheme="minorEastAsia" w:cstheme="minorBidi"/>
          <w:color w:val="auto"/>
          <w:sz w:val="28"/>
          <w:szCs w:val="28"/>
        </w:rPr>
        <w:t xml:space="preserve"> </w:t>
      </w:r>
      <w:r w:rsidR="00296DBF">
        <w:rPr>
          <w:rFonts w:eastAsiaTheme="minorEastAsia" w:cstheme="minorBidi"/>
          <w:color w:val="auto"/>
          <w:sz w:val="28"/>
          <w:szCs w:val="28"/>
        </w:rPr>
        <w:t>(i) l</w:t>
      </w:r>
      <w:r w:rsidR="003D7F3F">
        <w:rPr>
          <w:rFonts w:eastAsiaTheme="minorEastAsia" w:cstheme="minorBidi"/>
          <w:color w:val="auto"/>
          <w:sz w:val="28"/>
          <w:szCs w:val="28"/>
        </w:rPr>
        <w:t>as 22 mujeres que ya fueron identificadas y no se han in</w:t>
      </w:r>
      <w:r w:rsidR="00F0123F">
        <w:rPr>
          <w:rFonts w:eastAsiaTheme="minorEastAsia" w:cstheme="minorBidi"/>
          <w:color w:val="auto"/>
          <w:sz w:val="28"/>
          <w:szCs w:val="28"/>
        </w:rPr>
        <w:t>cluido en el RUV;</w:t>
      </w:r>
      <w:r w:rsidR="00296DBF">
        <w:rPr>
          <w:rFonts w:eastAsiaTheme="minorEastAsia" w:cstheme="minorBidi"/>
          <w:color w:val="auto"/>
          <w:sz w:val="28"/>
          <w:szCs w:val="28"/>
        </w:rPr>
        <w:t xml:space="preserve"> (ii) las 151 mujeres aproximadamente q</w:t>
      </w:r>
      <w:r w:rsidR="00F0123F">
        <w:rPr>
          <w:rFonts w:eastAsiaTheme="minorEastAsia" w:cstheme="minorBidi"/>
          <w:color w:val="auto"/>
          <w:sz w:val="28"/>
          <w:szCs w:val="28"/>
        </w:rPr>
        <w:t>ue</w:t>
      </w:r>
      <w:r w:rsidR="001C3211">
        <w:rPr>
          <w:rFonts w:eastAsiaTheme="minorEastAsia" w:cstheme="minorBidi"/>
          <w:color w:val="auto"/>
          <w:sz w:val="28"/>
          <w:szCs w:val="28"/>
        </w:rPr>
        <w:t xml:space="preserve"> no se han podido identificar;</w:t>
      </w:r>
      <w:r w:rsidR="00F0123F">
        <w:rPr>
          <w:rFonts w:eastAsiaTheme="minorEastAsia" w:cstheme="minorBidi"/>
          <w:color w:val="auto"/>
          <w:sz w:val="28"/>
          <w:szCs w:val="28"/>
        </w:rPr>
        <w:t xml:space="preserve"> (iii) las mujeres que ya están en el RUV y no han sido </w:t>
      </w:r>
      <w:r w:rsidR="001C3211">
        <w:rPr>
          <w:rFonts w:eastAsiaTheme="minorEastAsia" w:cstheme="minorBidi"/>
          <w:color w:val="auto"/>
          <w:sz w:val="28"/>
          <w:szCs w:val="28"/>
        </w:rPr>
        <w:t>indemnizadas; y</w:t>
      </w:r>
      <w:r w:rsidR="00F0123F">
        <w:rPr>
          <w:rFonts w:eastAsiaTheme="minorEastAsia" w:cstheme="minorBidi"/>
          <w:color w:val="auto"/>
          <w:sz w:val="28"/>
          <w:szCs w:val="28"/>
        </w:rPr>
        <w:t>,</w:t>
      </w:r>
      <w:r w:rsidR="001C3211">
        <w:rPr>
          <w:rFonts w:eastAsiaTheme="minorEastAsia" w:cstheme="minorBidi"/>
          <w:color w:val="auto"/>
          <w:sz w:val="28"/>
          <w:szCs w:val="28"/>
        </w:rPr>
        <w:t xml:space="preserve"> finalmente, (iv) las medidas adoptadas por la UARIV para garantizar que su oferta institucional llegue a las mujeres implicadas en los ane</w:t>
      </w:r>
      <w:r w:rsidR="00F30D95">
        <w:rPr>
          <w:rFonts w:eastAsiaTheme="minorEastAsia" w:cstheme="minorBidi"/>
          <w:color w:val="auto"/>
          <w:sz w:val="28"/>
          <w:szCs w:val="28"/>
        </w:rPr>
        <w:t>xos reservados,</w:t>
      </w:r>
      <w:r w:rsidR="00296DBF">
        <w:rPr>
          <w:rFonts w:eastAsiaTheme="minorEastAsia" w:cstheme="minorBidi"/>
          <w:color w:val="auto"/>
          <w:sz w:val="28"/>
          <w:szCs w:val="28"/>
        </w:rPr>
        <w:t xml:space="preserve"> </w:t>
      </w:r>
      <w:r w:rsidR="003D7F3F">
        <w:rPr>
          <w:rFonts w:eastAsiaTheme="minorEastAsia" w:cstheme="minorBidi"/>
          <w:color w:val="auto"/>
          <w:sz w:val="28"/>
          <w:szCs w:val="28"/>
        </w:rPr>
        <w:t>por lo que se solicitará informaci</w:t>
      </w:r>
      <w:r w:rsidR="006D14C0">
        <w:rPr>
          <w:rFonts w:eastAsiaTheme="minorEastAsia" w:cstheme="minorBidi"/>
          <w:color w:val="auto"/>
          <w:sz w:val="28"/>
          <w:szCs w:val="28"/>
        </w:rPr>
        <w:t>ón al respecto</w:t>
      </w:r>
      <w:r w:rsidR="00296DBF">
        <w:rPr>
          <w:rFonts w:eastAsiaTheme="minorEastAsia" w:cstheme="minorBidi"/>
          <w:color w:val="auto"/>
          <w:sz w:val="28"/>
          <w:szCs w:val="28"/>
        </w:rPr>
        <w:t>.</w:t>
      </w:r>
    </w:p>
    <w:p w14:paraId="010C956C" w14:textId="77777777" w:rsidR="00F30D95" w:rsidRDefault="00F30D95" w:rsidP="003D7F3F">
      <w:pPr>
        <w:pStyle w:val="Default"/>
        <w:jc w:val="both"/>
        <w:rPr>
          <w:rFonts w:eastAsiaTheme="minorEastAsia" w:cstheme="minorBidi"/>
          <w:color w:val="auto"/>
          <w:sz w:val="28"/>
          <w:szCs w:val="28"/>
        </w:rPr>
      </w:pPr>
    </w:p>
    <w:p w14:paraId="5245A0D1" w14:textId="6536DD97" w:rsidR="00F30D95" w:rsidRPr="00F30D95" w:rsidRDefault="00064D93" w:rsidP="00F30D95">
      <w:pPr>
        <w:pStyle w:val="Default"/>
        <w:jc w:val="both"/>
      </w:pPr>
      <w:r>
        <w:rPr>
          <w:rFonts w:eastAsiaTheme="minorEastAsia" w:cstheme="minorBidi"/>
          <w:color w:val="auto"/>
          <w:sz w:val="28"/>
          <w:szCs w:val="28"/>
        </w:rPr>
        <w:t xml:space="preserve">De conformidad con lo anterior, también se </w:t>
      </w:r>
      <w:r w:rsidR="00F30D95">
        <w:rPr>
          <w:rFonts w:eastAsiaTheme="minorEastAsia" w:cstheme="minorBidi"/>
          <w:color w:val="auto"/>
          <w:sz w:val="28"/>
          <w:szCs w:val="28"/>
        </w:rPr>
        <w:t xml:space="preserve">solicitará información acerca de: </w:t>
      </w:r>
      <w:r>
        <w:rPr>
          <w:rFonts w:eastAsiaTheme="minorEastAsia" w:cstheme="minorBidi"/>
          <w:color w:val="auto"/>
          <w:sz w:val="28"/>
          <w:szCs w:val="28"/>
        </w:rPr>
        <w:t>(</w:t>
      </w:r>
      <w:r w:rsidR="00F30D95">
        <w:rPr>
          <w:sz w:val="28"/>
          <w:szCs w:val="28"/>
        </w:rPr>
        <w:t xml:space="preserve">i) el total de las mujeres incluidas en el anexo reservado del </w:t>
      </w:r>
      <w:r w:rsidR="00F30D95" w:rsidRPr="00F30D95">
        <w:rPr>
          <w:b/>
          <w:sz w:val="28"/>
          <w:szCs w:val="28"/>
        </w:rPr>
        <w:t>Auto 009 de 2015</w:t>
      </w:r>
      <w:r w:rsidR="00F30D95">
        <w:rPr>
          <w:sz w:val="28"/>
          <w:szCs w:val="28"/>
        </w:rPr>
        <w:t xml:space="preserve"> que se encuentran efectivamente incluidas e individualizadas en el RUV; (ii) las medidas de atención y reparación a las que efectivamente han accedido desde su inclusión en el RUV, de manera desagregada para cada una de ellas.</w:t>
      </w:r>
    </w:p>
    <w:p w14:paraId="59E49716" w14:textId="77777777" w:rsidR="003D7F3F" w:rsidRPr="00416613" w:rsidRDefault="003D7F3F" w:rsidP="00416613">
      <w:pPr>
        <w:tabs>
          <w:tab w:val="left" w:pos="567"/>
        </w:tabs>
        <w:ind w:right="618"/>
        <w:rPr>
          <w:sz w:val="24"/>
          <w:szCs w:val="28"/>
        </w:rPr>
      </w:pPr>
    </w:p>
    <w:p w14:paraId="69D646D2" w14:textId="514D719B" w:rsidR="007E5826" w:rsidRDefault="005C2029" w:rsidP="003A7DB8">
      <w:pPr>
        <w:pStyle w:val="Prrafodelista"/>
        <w:numPr>
          <w:ilvl w:val="0"/>
          <w:numId w:val="28"/>
        </w:numPr>
        <w:tabs>
          <w:tab w:val="left" w:pos="567"/>
        </w:tabs>
        <w:ind w:left="0" w:firstLine="0"/>
        <w:rPr>
          <w:szCs w:val="28"/>
        </w:rPr>
      </w:pPr>
      <w:r>
        <w:t>En la jornada de trabajo interinstitucional del 17 de abril de 2018, la UARIV indicó que</w:t>
      </w:r>
      <w:r w:rsidRPr="005C2029">
        <w:rPr>
          <w:szCs w:val="28"/>
        </w:rPr>
        <w:t xml:space="preserve"> “</w:t>
      </w:r>
      <w:r w:rsidRPr="005C2029">
        <w:rPr>
          <w:i/>
          <w:szCs w:val="28"/>
        </w:rPr>
        <w:t>Si bien se estima que el número de mujeres víctimas de violencia sexual relacionadas en los anexos reservados podría ser cercano a 794, solo ha sido posible identificar de manera individual a 568 mujeres víctimas de violencia sexual a partir de la información disponible en los anexos reservados</w:t>
      </w:r>
      <w:r>
        <w:rPr>
          <w:i/>
          <w:szCs w:val="28"/>
        </w:rPr>
        <w:t>”</w:t>
      </w:r>
      <w:r w:rsidR="00F1295C">
        <w:rPr>
          <w:rStyle w:val="Refdenotaalpie"/>
          <w:i/>
          <w:szCs w:val="28"/>
        </w:rPr>
        <w:footnoteReference w:id="26"/>
      </w:r>
      <w:r w:rsidR="00311A38">
        <w:rPr>
          <w:szCs w:val="28"/>
        </w:rPr>
        <w:t xml:space="preserve"> y señaló</w:t>
      </w:r>
      <w:r w:rsidR="00F1295C">
        <w:rPr>
          <w:szCs w:val="28"/>
        </w:rPr>
        <w:t xml:space="preserve"> que 527 de ellas, es decir, el 92%</w:t>
      </w:r>
      <w:r w:rsidR="003A1DFA">
        <w:rPr>
          <w:szCs w:val="28"/>
        </w:rPr>
        <w:t xml:space="preserve"> </w:t>
      </w:r>
      <w:r w:rsidR="00F1295C">
        <w:rPr>
          <w:szCs w:val="28"/>
        </w:rPr>
        <w:t>están incluidas en el RUV</w:t>
      </w:r>
      <w:r w:rsidR="00311A38">
        <w:rPr>
          <w:szCs w:val="28"/>
        </w:rPr>
        <w:t xml:space="preserve">, 121 corresponden al </w:t>
      </w:r>
      <w:r w:rsidR="00311A38" w:rsidRPr="00311A38">
        <w:rPr>
          <w:b/>
          <w:szCs w:val="28"/>
        </w:rPr>
        <w:t>Auto 092 de 2008</w:t>
      </w:r>
      <w:r w:rsidR="00311A38">
        <w:rPr>
          <w:szCs w:val="28"/>
        </w:rPr>
        <w:t xml:space="preserve"> y 402 al </w:t>
      </w:r>
      <w:r w:rsidR="00311A38" w:rsidRPr="00311A38">
        <w:rPr>
          <w:b/>
          <w:szCs w:val="28"/>
        </w:rPr>
        <w:t>Auto 009 de 2015</w:t>
      </w:r>
      <w:r w:rsidR="00311A38">
        <w:rPr>
          <w:szCs w:val="28"/>
        </w:rPr>
        <w:t>.</w:t>
      </w:r>
    </w:p>
    <w:p w14:paraId="2F59F02C" w14:textId="77777777" w:rsidR="00311A38" w:rsidRDefault="00311A38" w:rsidP="00311A38">
      <w:pPr>
        <w:tabs>
          <w:tab w:val="left" w:pos="567"/>
        </w:tabs>
        <w:rPr>
          <w:szCs w:val="28"/>
        </w:rPr>
      </w:pPr>
    </w:p>
    <w:p w14:paraId="5724C98D" w14:textId="322EC60D" w:rsidR="006E2225" w:rsidRDefault="00311A38" w:rsidP="00311A38">
      <w:pPr>
        <w:tabs>
          <w:tab w:val="left" w:pos="567"/>
        </w:tabs>
        <w:rPr>
          <w:szCs w:val="28"/>
        </w:rPr>
      </w:pPr>
      <w:r>
        <w:rPr>
          <w:szCs w:val="28"/>
        </w:rPr>
        <w:t xml:space="preserve">De las 527 mujeres incluidas en el RUV, la entidad </w:t>
      </w:r>
      <w:r w:rsidR="00E71044">
        <w:rPr>
          <w:szCs w:val="28"/>
        </w:rPr>
        <w:t>señal</w:t>
      </w:r>
      <w:r>
        <w:rPr>
          <w:szCs w:val="28"/>
        </w:rPr>
        <w:t xml:space="preserve">ó que 378 están incluidas por delitos contra la libertad e integridad sexual y 149 por otros hechos </w:t>
      </w:r>
      <w:proofErr w:type="spellStart"/>
      <w:r>
        <w:rPr>
          <w:szCs w:val="28"/>
        </w:rPr>
        <w:lastRenderedPageBreak/>
        <w:t>victimizantes</w:t>
      </w:r>
      <w:proofErr w:type="spellEnd"/>
      <w:r>
        <w:rPr>
          <w:szCs w:val="28"/>
        </w:rPr>
        <w:t>.</w:t>
      </w:r>
      <w:r w:rsidR="00E71044">
        <w:rPr>
          <w:szCs w:val="28"/>
        </w:rPr>
        <w:t xml:space="preserve"> </w:t>
      </w:r>
      <w:r w:rsidR="006E2225">
        <w:rPr>
          <w:szCs w:val="28"/>
        </w:rPr>
        <w:t>En tal jornada, además, la UARIV informó cuál sería su plan de trabajo para el año 2018 y planteó las siguientes acciones:</w:t>
      </w:r>
    </w:p>
    <w:p w14:paraId="6A068AAA" w14:textId="77777777" w:rsidR="006E2225" w:rsidRPr="006E2225" w:rsidRDefault="006E2225" w:rsidP="006E2225">
      <w:pPr>
        <w:autoSpaceDE w:val="0"/>
        <w:autoSpaceDN w:val="0"/>
        <w:adjustRightInd w:val="0"/>
        <w:jc w:val="left"/>
        <w:rPr>
          <w:szCs w:val="28"/>
        </w:rPr>
      </w:pPr>
    </w:p>
    <w:p w14:paraId="18029AD7" w14:textId="4B0B3FC7" w:rsidR="006E2225" w:rsidRPr="006E2225" w:rsidRDefault="006E2225" w:rsidP="00E71044">
      <w:pPr>
        <w:autoSpaceDE w:val="0"/>
        <w:autoSpaceDN w:val="0"/>
        <w:adjustRightInd w:val="0"/>
        <w:ind w:left="567" w:right="618"/>
        <w:rPr>
          <w:i/>
          <w:sz w:val="24"/>
          <w:szCs w:val="28"/>
        </w:rPr>
      </w:pPr>
      <w:r>
        <w:rPr>
          <w:i/>
          <w:sz w:val="24"/>
          <w:szCs w:val="28"/>
        </w:rPr>
        <w:t xml:space="preserve">“- </w:t>
      </w:r>
      <w:r w:rsidRPr="006E2225">
        <w:rPr>
          <w:i/>
          <w:sz w:val="24"/>
          <w:szCs w:val="28"/>
        </w:rPr>
        <w:t>Continuar con la articulación interinstitucional para que a partir de la consulta</w:t>
      </w:r>
      <w:r w:rsidRPr="006E2225">
        <w:rPr>
          <w:szCs w:val="28"/>
        </w:rPr>
        <w:t xml:space="preserve"> </w:t>
      </w:r>
      <w:r w:rsidRPr="006E2225">
        <w:rPr>
          <w:i/>
          <w:sz w:val="24"/>
          <w:szCs w:val="28"/>
        </w:rPr>
        <w:t xml:space="preserve">de información suficiente y su análisis se posibilite avanzar en la identificación e individualización de cada uno de los casos referidos, mencionados o relacionados con los autos en mención. Plazo: Permanente. </w:t>
      </w:r>
    </w:p>
    <w:p w14:paraId="0F49157F" w14:textId="77777777" w:rsidR="006E2225" w:rsidRPr="006E2225" w:rsidRDefault="006E2225" w:rsidP="00E71044">
      <w:pPr>
        <w:autoSpaceDE w:val="0"/>
        <w:autoSpaceDN w:val="0"/>
        <w:adjustRightInd w:val="0"/>
        <w:ind w:left="567" w:right="618"/>
        <w:rPr>
          <w:i/>
          <w:sz w:val="24"/>
          <w:szCs w:val="28"/>
        </w:rPr>
      </w:pPr>
    </w:p>
    <w:p w14:paraId="36FADFFB" w14:textId="099AA278" w:rsidR="006E2225" w:rsidRPr="006E2225" w:rsidRDefault="006E2225" w:rsidP="00E71044">
      <w:pPr>
        <w:autoSpaceDE w:val="0"/>
        <w:autoSpaceDN w:val="0"/>
        <w:adjustRightInd w:val="0"/>
        <w:ind w:left="567" w:right="618"/>
        <w:rPr>
          <w:i/>
          <w:sz w:val="24"/>
          <w:szCs w:val="28"/>
        </w:rPr>
      </w:pPr>
      <w:r>
        <w:rPr>
          <w:i/>
          <w:sz w:val="24"/>
          <w:szCs w:val="28"/>
        </w:rPr>
        <w:t xml:space="preserve">- </w:t>
      </w:r>
      <w:r w:rsidRPr="006E2225">
        <w:rPr>
          <w:i/>
          <w:sz w:val="24"/>
          <w:szCs w:val="28"/>
        </w:rPr>
        <w:t xml:space="preserve">Para los 75 casos en los que se encuentran elementos de tiempo, modo y lugar para ser incluidas en el Registro Único de Víctimas, pero que están a la espera de surtir un proceso administrativo de autorización para su inclusión, la Unidad para las Víctimas iniciará tal procedimiento a través de las organizaciones que representan a las víctimas con poder especial o a través de una estrategia conjunta entre las entidades involucradas que responda al principio de la Acción Sin Daño. Plazo: Una vez se cuente con la autorización, comenzará a correr el término legal para la valoración. </w:t>
      </w:r>
    </w:p>
    <w:p w14:paraId="3B851427" w14:textId="77777777" w:rsidR="006E2225" w:rsidRPr="006E2225" w:rsidRDefault="006E2225" w:rsidP="00E71044">
      <w:pPr>
        <w:autoSpaceDE w:val="0"/>
        <w:autoSpaceDN w:val="0"/>
        <w:adjustRightInd w:val="0"/>
        <w:ind w:left="567" w:right="618"/>
        <w:rPr>
          <w:i/>
          <w:sz w:val="24"/>
          <w:szCs w:val="28"/>
        </w:rPr>
      </w:pPr>
    </w:p>
    <w:p w14:paraId="7B62E106" w14:textId="78F42B1A" w:rsidR="006E2225" w:rsidRPr="006E2225" w:rsidRDefault="006E2225" w:rsidP="00E71044">
      <w:pPr>
        <w:autoSpaceDE w:val="0"/>
        <w:autoSpaceDN w:val="0"/>
        <w:adjustRightInd w:val="0"/>
        <w:ind w:left="567" w:right="618"/>
        <w:rPr>
          <w:i/>
          <w:sz w:val="24"/>
          <w:szCs w:val="28"/>
        </w:rPr>
      </w:pPr>
      <w:r>
        <w:rPr>
          <w:i/>
          <w:sz w:val="24"/>
          <w:szCs w:val="28"/>
        </w:rPr>
        <w:t xml:space="preserve">- </w:t>
      </w:r>
      <w:r w:rsidRPr="006E2225">
        <w:rPr>
          <w:i/>
          <w:sz w:val="24"/>
          <w:szCs w:val="28"/>
        </w:rPr>
        <w:t xml:space="preserve">Por otra parte, se iniciará el procedimiento junto con el Ministerio Público para la toma de declaración con enfoque diferencial y de género de las 64 mujeres que se encuentran en los anexos reservados y en los cuales es necesario adelantar una ampliación de la información para su valoración y posterior inclusión en el RUV por el hecho victimizante, delitos contra la libertad y la integridad sexual. Plazo. Una vez se radique la declaración en la Unidad, comenzará a correr el término legal para la valoración (3 Meses) </w:t>
      </w:r>
    </w:p>
    <w:p w14:paraId="01CA51AD" w14:textId="77777777" w:rsidR="006E2225" w:rsidRPr="006E2225" w:rsidRDefault="006E2225" w:rsidP="00E71044">
      <w:pPr>
        <w:autoSpaceDE w:val="0"/>
        <w:autoSpaceDN w:val="0"/>
        <w:adjustRightInd w:val="0"/>
        <w:ind w:left="567" w:right="618"/>
        <w:rPr>
          <w:i/>
          <w:sz w:val="24"/>
          <w:szCs w:val="28"/>
        </w:rPr>
      </w:pPr>
    </w:p>
    <w:p w14:paraId="1B5FA09D" w14:textId="2529A8FC" w:rsidR="006E2225" w:rsidRPr="006E2225" w:rsidRDefault="006E2225" w:rsidP="00E71044">
      <w:pPr>
        <w:autoSpaceDE w:val="0"/>
        <w:autoSpaceDN w:val="0"/>
        <w:adjustRightInd w:val="0"/>
        <w:ind w:left="567" w:right="618"/>
        <w:rPr>
          <w:i/>
          <w:sz w:val="24"/>
          <w:szCs w:val="28"/>
        </w:rPr>
      </w:pPr>
      <w:r>
        <w:rPr>
          <w:i/>
          <w:sz w:val="24"/>
          <w:szCs w:val="28"/>
        </w:rPr>
        <w:t xml:space="preserve">- </w:t>
      </w:r>
      <w:r w:rsidRPr="006E2225">
        <w:rPr>
          <w:i/>
          <w:sz w:val="24"/>
          <w:szCs w:val="28"/>
        </w:rPr>
        <w:t>La Unidad para las Víctimas continuará el cruce de información con distintas fuentes de información, para aquellos casos en los que no se cuenta con información individualizada de las víctimas, pero sobre los cuales se tiene la información de lugar y tiempo de los hechos de ocurrencia. Plazo: Permanente</w:t>
      </w:r>
      <w:r>
        <w:rPr>
          <w:i/>
          <w:sz w:val="24"/>
          <w:szCs w:val="28"/>
        </w:rPr>
        <w:t>”</w:t>
      </w:r>
      <w:r>
        <w:rPr>
          <w:rStyle w:val="Refdenotaalpie"/>
          <w:i/>
          <w:sz w:val="24"/>
          <w:szCs w:val="28"/>
        </w:rPr>
        <w:footnoteReference w:id="27"/>
      </w:r>
      <w:r w:rsidRPr="006E2225">
        <w:rPr>
          <w:i/>
          <w:sz w:val="24"/>
          <w:szCs w:val="28"/>
        </w:rPr>
        <w:t xml:space="preserve">. </w:t>
      </w:r>
    </w:p>
    <w:p w14:paraId="3EA15D35" w14:textId="77777777" w:rsidR="006E2225" w:rsidRPr="006E2225" w:rsidRDefault="006E2225" w:rsidP="006E2225">
      <w:pPr>
        <w:tabs>
          <w:tab w:val="left" w:pos="567"/>
        </w:tabs>
        <w:rPr>
          <w:i/>
          <w:sz w:val="24"/>
          <w:szCs w:val="28"/>
        </w:rPr>
      </w:pPr>
    </w:p>
    <w:p w14:paraId="28A0A294" w14:textId="06EAA510" w:rsidR="00241862" w:rsidRDefault="006E2225" w:rsidP="006A2C51">
      <w:pPr>
        <w:tabs>
          <w:tab w:val="left" w:pos="567"/>
        </w:tabs>
        <w:rPr>
          <w:szCs w:val="28"/>
        </w:rPr>
      </w:pPr>
      <w:r w:rsidRPr="006E2225">
        <w:rPr>
          <w:szCs w:val="28"/>
        </w:rPr>
        <w:t xml:space="preserve">Además, </w:t>
      </w:r>
      <w:r>
        <w:rPr>
          <w:szCs w:val="28"/>
        </w:rPr>
        <w:t>se refirió a tareas</w:t>
      </w:r>
      <w:r w:rsidRPr="006E2225">
        <w:rPr>
          <w:szCs w:val="28"/>
        </w:rPr>
        <w:t xml:space="preserve"> concretas en materia de asistencia, atención y reparación</w:t>
      </w:r>
      <w:r w:rsidR="00CD337C">
        <w:rPr>
          <w:szCs w:val="28"/>
        </w:rPr>
        <w:t xml:space="preserve"> a las mujeres reconocidas por los anexos reservados de los </w:t>
      </w:r>
      <w:r w:rsidR="00CD337C" w:rsidRPr="00505DE8">
        <w:rPr>
          <w:b/>
          <w:szCs w:val="28"/>
        </w:rPr>
        <w:t xml:space="preserve">Autos </w:t>
      </w:r>
      <w:r w:rsidR="00CD337C" w:rsidRPr="00505DE8">
        <w:rPr>
          <w:b/>
          <w:szCs w:val="28"/>
          <w:shd w:val="clear" w:color="auto" w:fill="FFFFFF"/>
        </w:rPr>
        <w:t>092 de 2008 y 009 de 2015</w:t>
      </w:r>
      <w:r w:rsidRPr="006E2225">
        <w:rPr>
          <w:szCs w:val="28"/>
        </w:rPr>
        <w:t>, razón por la cual se solicitará a la UARIV información acerca de los avances en tales tareas.</w:t>
      </w:r>
      <w:r w:rsidR="00311A38" w:rsidRPr="006E2225">
        <w:rPr>
          <w:szCs w:val="28"/>
        </w:rPr>
        <w:t xml:space="preserve"> </w:t>
      </w:r>
    </w:p>
    <w:p w14:paraId="4DE8F560" w14:textId="77777777" w:rsidR="009622CD" w:rsidRDefault="009622CD" w:rsidP="006A2C51">
      <w:pPr>
        <w:tabs>
          <w:tab w:val="left" w:pos="567"/>
        </w:tabs>
        <w:rPr>
          <w:szCs w:val="28"/>
        </w:rPr>
      </w:pPr>
    </w:p>
    <w:p w14:paraId="5E316E89" w14:textId="0A8DBBD8" w:rsidR="00385456" w:rsidRPr="00561703" w:rsidRDefault="00385456" w:rsidP="00385456">
      <w:pPr>
        <w:pStyle w:val="Prrafodelista"/>
        <w:numPr>
          <w:ilvl w:val="0"/>
          <w:numId w:val="28"/>
        </w:numPr>
        <w:tabs>
          <w:tab w:val="left" w:pos="567"/>
        </w:tabs>
        <w:ind w:left="0" w:firstLine="0"/>
        <w:rPr>
          <w:rFonts w:eastAsiaTheme="minorHAnsi" w:cs="Times New Roman"/>
          <w:szCs w:val="28"/>
        </w:rPr>
      </w:pPr>
      <w:r w:rsidRPr="00561703">
        <w:rPr>
          <w:szCs w:val="28"/>
        </w:rPr>
        <w:t>Finalmente, d</w:t>
      </w:r>
      <w:r w:rsidR="004B4717" w:rsidRPr="00561703">
        <w:rPr>
          <w:szCs w:val="28"/>
        </w:rPr>
        <w:t>e</w:t>
      </w:r>
      <w:r w:rsidR="009622CD" w:rsidRPr="00561703">
        <w:rPr>
          <w:szCs w:val="28"/>
        </w:rPr>
        <w:t xml:space="preserve"> la información remitida a esta Corporación, por parte de la Fiscalía General de la Nación, la Procuraduría General de la Nación y la </w:t>
      </w:r>
      <w:r w:rsidR="00BF1266" w:rsidRPr="00561703">
        <w:rPr>
          <w:rFonts w:eastAsiaTheme="minorHAnsi" w:cs="Times New Roman"/>
          <w:szCs w:val="28"/>
        </w:rPr>
        <w:t>UARIV</w:t>
      </w:r>
      <w:r w:rsidR="009622CD" w:rsidRPr="00561703">
        <w:rPr>
          <w:rFonts w:eastAsiaTheme="minorHAnsi" w:cs="Times New Roman"/>
          <w:szCs w:val="28"/>
        </w:rPr>
        <w:t xml:space="preserve">, se puede concluir que las cifras mencionadas por cada entidad en relación con el universo de mujeres de los anexos reservados de los </w:t>
      </w:r>
      <w:r w:rsidR="009622CD" w:rsidRPr="00561703">
        <w:rPr>
          <w:rFonts w:eastAsiaTheme="minorHAnsi" w:cs="Times New Roman"/>
          <w:b/>
          <w:szCs w:val="28"/>
        </w:rPr>
        <w:t>Autos 092 de 2008 y 009 de 2015</w:t>
      </w:r>
      <w:r w:rsidR="00BF1266" w:rsidRPr="00561703">
        <w:rPr>
          <w:rFonts w:eastAsiaTheme="minorHAnsi" w:cs="Times New Roman"/>
          <w:szCs w:val="28"/>
        </w:rPr>
        <w:t xml:space="preserve"> son distintas, tal como se muestra en la Tabla 7.</w:t>
      </w:r>
      <w:r w:rsidR="00B75A14" w:rsidRPr="00561703">
        <w:rPr>
          <w:rFonts w:eastAsiaTheme="minorHAnsi" w:cs="Times New Roman"/>
          <w:szCs w:val="28"/>
        </w:rPr>
        <w:t xml:space="preserve"> </w:t>
      </w:r>
    </w:p>
    <w:p w14:paraId="06D42627" w14:textId="77777777" w:rsidR="00B75A14" w:rsidRPr="00561703" w:rsidRDefault="00B75A14" w:rsidP="006A2C51">
      <w:pPr>
        <w:tabs>
          <w:tab w:val="left" w:pos="567"/>
        </w:tabs>
        <w:rPr>
          <w:rFonts w:eastAsiaTheme="minorHAnsi" w:cs="Times New Roman"/>
          <w:szCs w:val="28"/>
        </w:rPr>
      </w:pPr>
    </w:p>
    <w:p w14:paraId="2BBDC466" w14:textId="5FB26062" w:rsidR="00B75A14" w:rsidRPr="00561703" w:rsidRDefault="00B75A14" w:rsidP="00385456">
      <w:pPr>
        <w:rPr>
          <w:b/>
        </w:rPr>
      </w:pPr>
      <w:r w:rsidRPr="00561703">
        <w:rPr>
          <w:b/>
        </w:rPr>
        <w:t xml:space="preserve">Tabla 7. Cifras del universo de mujeres identificadas </w:t>
      </w:r>
      <w:r w:rsidR="007C689A" w:rsidRPr="00561703">
        <w:rPr>
          <w:b/>
        </w:rPr>
        <w:t>en</w:t>
      </w:r>
      <w:r w:rsidRPr="00561703">
        <w:rPr>
          <w:b/>
        </w:rPr>
        <w:t xml:space="preserve"> los anexos reservados</w:t>
      </w:r>
      <w:r w:rsidR="00385456" w:rsidRPr="00561703">
        <w:rPr>
          <w:b/>
        </w:rPr>
        <w:t xml:space="preserve"> por cada entidad</w:t>
      </w:r>
      <w:r w:rsidRPr="00561703">
        <w:rPr>
          <w:b/>
        </w:rPr>
        <w:t>.</w:t>
      </w:r>
    </w:p>
    <w:p w14:paraId="0618B828" w14:textId="77777777" w:rsidR="00B75A14" w:rsidRPr="00561703" w:rsidRDefault="00B75A14" w:rsidP="006A2C51">
      <w:pPr>
        <w:tabs>
          <w:tab w:val="left" w:pos="567"/>
        </w:tabs>
        <w:rPr>
          <w:szCs w:val="28"/>
        </w:rPr>
      </w:pPr>
    </w:p>
    <w:tbl>
      <w:tblPr>
        <w:tblStyle w:val="Tablaconcuadrcula"/>
        <w:tblW w:w="0" w:type="auto"/>
        <w:tblLook w:val="04A0" w:firstRow="1" w:lastRow="0" w:firstColumn="1" w:lastColumn="0" w:noHBand="0" w:noVBand="1"/>
      </w:tblPr>
      <w:tblGrid>
        <w:gridCol w:w="1471"/>
        <w:gridCol w:w="1472"/>
        <w:gridCol w:w="1471"/>
        <w:gridCol w:w="1472"/>
        <w:gridCol w:w="1472"/>
        <w:gridCol w:w="1472"/>
      </w:tblGrid>
      <w:tr w:rsidR="00B75A14" w:rsidRPr="00561703" w14:paraId="454805EC" w14:textId="77777777" w:rsidTr="003A7DB8">
        <w:tc>
          <w:tcPr>
            <w:tcW w:w="2943" w:type="dxa"/>
            <w:gridSpan w:val="2"/>
            <w:shd w:val="clear" w:color="auto" w:fill="AEAAAA" w:themeFill="background2" w:themeFillShade="BF"/>
          </w:tcPr>
          <w:p w14:paraId="0481C8C8" w14:textId="44663091" w:rsidR="00B75A14" w:rsidRPr="00561703" w:rsidRDefault="00B75A14" w:rsidP="003A7DB8">
            <w:pPr>
              <w:jc w:val="center"/>
              <w:rPr>
                <w:b/>
              </w:rPr>
            </w:pPr>
            <w:r w:rsidRPr="00561703">
              <w:rPr>
                <w:b/>
              </w:rPr>
              <w:t>Fiscalía</w:t>
            </w:r>
            <w:r w:rsidR="00385456" w:rsidRPr="00561703">
              <w:rPr>
                <w:b/>
              </w:rPr>
              <w:t xml:space="preserve"> General de la Nación </w:t>
            </w:r>
          </w:p>
        </w:tc>
        <w:tc>
          <w:tcPr>
            <w:tcW w:w="2943" w:type="dxa"/>
            <w:gridSpan w:val="2"/>
            <w:shd w:val="clear" w:color="auto" w:fill="AEAAAA" w:themeFill="background2" w:themeFillShade="BF"/>
          </w:tcPr>
          <w:p w14:paraId="02004214" w14:textId="0C2666B8" w:rsidR="00B75A14" w:rsidRPr="00561703" w:rsidRDefault="00B75A14" w:rsidP="003A7DB8">
            <w:pPr>
              <w:jc w:val="center"/>
              <w:rPr>
                <w:b/>
              </w:rPr>
            </w:pPr>
            <w:r w:rsidRPr="00561703">
              <w:rPr>
                <w:b/>
              </w:rPr>
              <w:t>Procuraduría</w:t>
            </w:r>
            <w:r w:rsidR="00385456" w:rsidRPr="00561703">
              <w:rPr>
                <w:b/>
              </w:rPr>
              <w:t xml:space="preserve"> General de la Nación</w:t>
            </w:r>
          </w:p>
        </w:tc>
        <w:tc>
          <w:tcPr>
            <w:tcW w:w="2944" w:type="dxa"/>
            <w:gridSpan w:val="2"/>
            <w:shd w:val="clear" w:color="auto" w:fill="AEAAAA" w:themeFill="background2" w:themeFillShade="BF"/>
          </w:tcPr>
          <w:p w14:paraId="5EF3AD30" w14:textId="77777777" w:rsidR="00B75A14" w:rsidRPr="00561703" w:rsidRDefault="00B75A14" w:rsidP="003A7DB8">
            <w:pPr>
              <w:jc w:val="center"/>
              <w:rPr>
                <w:b/>
              </w:rPr>
            </w:pPr>
            <w:r w:rsidRPr="00561703">
              <w:rPr>
                <w:b/>
              </w:rPr>
              <w:t>UARIV</w:t>
            </w:r>
          </w:p>
        </w:tc>
      </w:tr>
      <w:tr w:rsidR="00B75A14" w:rsidRPr="00561703" w14:paraId="05DF088A" w14:textId="77777777" w:rsidTr="003A7DB8">
        <w:tc>
          <w:tcPr>
            <w:tcW w:w="2943" w:type="dxa"/>
            <w:gridSpan w:val="2"/>
          </w:tcPr>
          <w:p w14:paraId="77180666" w14:textId="77777777" w:rsidR="00B75A14" w:rsidRPr="00561703" w:rsidRDefault="00B75A14" w:rsidP="003A7DB8">
            <w:pPr>
              <w:jc w:val="center"/>
            </w:pPr>
            <w:r w:rsidRPr="00561703">
              <w:t>670 mujeres</w:t>
            </w:r>
          </w:p>
        </w:tc>
        <w:tc>
          <w:tcPr>
            <w:tcW w:w="2943" w:type="dxa"/>
            <w:gridSpan w:val="2"/>
          </w:tcPr>
          <w:p w14:paraId="6FBA64D2" w14:textId="77777777" w:rsidR="00B75A14" w:rsidRPr="00561703" w:rsidRDefault="00B75A14" w:rsidP="003A7DB8">
            <w:pPr>
              <w:jc w:val="center"/>
            </w:pPr>
            <w:r w:rsidRPr="00561703">
              <w:t>634  mujeres</w:t>
            </w:r>
          </w:p>
        </w:tc>
        <w:tc>
          <w:tcPr>
            <w:tcW w:w="2944" w:type="dxa"/>
            <w:gridSpan w:val="2"/>
          </w:tcPr>
          <w:p w14:paraId="5CBAD089" w14:textId="77777777" w:rsidR="00B75A14" w:rsidRPr="00561703" w:rsidRDefault="00B75A14" w:rsidP="003A7DB8">
            <w:pPr>
              <w:jc w:val="center"/>
            </w:pPr>
            <w:r w:rsidRPr="00561703">
              <w:t>794 mujeres</w:t>
            </w:r>
          </w:p>
        </w:tc>
      </w:tr>
      <w:tr w:rsidR="00B75A14" w:rsidRPr="00561703" w14:paraId="2485D5AD" w14:textId="77777777" w:rsidTr="003A7DB8">
        <w:tc>
          <w:tcPr>
            <w:tcW w:w="1471" w:type="dxa"/>
          </w:tcPr>
          <w:p w14:paraId="585757C5" w14:textId="77777777" w:rsidR="00B75A14" w:rsidRPr="00561703" w:rsidRDefault="00B75A14" w:rsidP="003A7DB8">
            <w:pPr>
              <w:rPr>
                <w:b/>
              </w:rPr>
            </w:pPr>
            <w:r w:rsidRPr="00561703">
              <w:rPr>
                <w:b/>
              </w:rPr>
              <w:t>Auto 092</w:t>
            </w:r>
          </w:p>
        </w:tc>
        <w:tc>
          <w:tcPr>
            <w:tcW w:w="1472" w:type="dxa"/>
          </w:tcPr>
          <w:p w14:paraId="29CEFEE7" w14:textId="77777777" w:rsidR="00B75A14" w:rsidRPr="00561703" w:rsidRDefault="00B75A14" w:rsidP="003A7DB8">
            <w:pPr>
              <w:rPr>
                <w:b/>
              </w:rPr>
            </w:pPr>
            <w:r w:rsidRPr="00561703">
              <w:rPr>
                <w:b/>
              </w:rPr>
              <w:t>Auto 009</w:t>
            </w:r>
          </w:p>
        </w:tc>
        <w:tc>
          <w:tcPr>
            <w:tcW w:w="1471" w:type="dxa"/>
          </w:tcPr>
          <w:p w14:paraId="0515B1B3" w14:textId="77777777" w:rsidR="00B75A14" w:rsidRPr="00561703" w:rsidRDefault="00B75A14" w:rsidP="003A7DB8">
            <w:pPr>
              <w:rPr>
                <w:b/>
              </w:rPr>
            </w:pPr>
            <w:r w:rsidRPr="00561703">
              <w:rPr>
                <w:b/>
              </w:rPr>
              <w:t>Auto 092</w:t>
            </w:r>
          </w:p>
        </w:tc>
        <w:tc>
          <w:tcPr>
            <w:tcW w:w="1472" w:type="dxa"/>
          </w:tcPr>
          <w:p w14:paraId="2C4EC1F9" w14:textId="77777777" w:rsidR="00B75A14" w:rsidRPr="00561703" w:rsidRDefault="00B75A14" w:rsidP="003A7DB8">
            <w:pPr>
              <w:rPr>
                <w:b/>
              </w:rPr>
            </w:pPr>
            <w:r w:rsidRPr="00561703">
              <w:rPr>
                <w:b/>
              </w:rPr>
              <w:t>Auto 009</w:t>
            </w:r>
          </w:p>
        </w:tc>
        <w:tc>
          <w:tcPr>
            <w:tcW w:w="1472" w:type="dxa"/>
          </w:tcPr>
          <w:p w14:paraId="64742BCC" w14:textId="77777777" w:rsidR="00B75A14" w:rsidRPr="00561703" w:rsidRDefault="00B75A14" w:rsidP="003A7DB8">
            <w:pPr>
              <w:rPr>
                <w:b/>
              </w:rPr>
            </w:pPr>
            <w:r w:rsidRPr="00561703">
              <w:rPr>
                <w:b/>
              </w:rPr>
              <w:t>Auto 092</w:t>
            </w:r>
          </w:p>
        </w:tc>
        <w:tc>
          <w:tcPr>
            <w:tcW w:w="1472" w:type="dxa"/>
          </w:tcPr>
          <w:p w14:paraId="57C10FBE" w14:textId="77777777" w:rsidR="00B75A14" w:rsidRPr="00561703" w:rsidRDefault="00B75A14" w:rsidP="003A7DB8">
            <w:pPr>
              <w:rPr>
                <w:b/>
              </w:rPr>
            </w:pPr>
            <w:r w:rsidRPr="00561703">
              <w:rPr>
                <w:b/>
              </w:rPr>
              <w:t>Auto 009</w:t>
            </w:r>
          </w:p>
        </w:tc>
      </w:tr>
      <w:tr w:rsidR="00B75A14" w:rsidRPr="00561703" w14:paraId="5264224F" w14:textId="77777777" w:rsidTr="003A7DB8">
        <w:tc>
          <w:tcPr>
            <w:tcW w:w="1471" w:type="dxa"/>
          </w:tcPr>
          <w:p w14:paraId="3D6305AB" w14:textId="77777777" w:rsidR="00B75A14" w:rsidRPr="00561703" w:rsidRDefault="00B75A14" w:rsidP="00385456">
            <w:pPr>
              <w:jc w:val="center"/>
            </w:pPr>
            <w:r w:rsidRPr="00561703">
              <w:t>228</w:t>
            </w:r>
          </w:p>
        </w:tc>
        <w:tc>
          <w:tcPr>
            <w:tcW w:w="1472" w:type="dxa"/>
          </w:tcPr>
          <w:p w14:paraId="1ADD5753" w14:textId="058CFDA7" w:rsidR="00B75A14" w:rsidRPr="00561703" w:rsidRDefault="00B75A14" w:rsidP="00385456">
            <w:pPr>
              <w:jc w:val="center"/>
            </w:pPr>
            <w:r w:rsidRPr="00561703">
              <w:t>442</w:t>
            </w:r>
          </w:p>
        </w:tc>
        <w:tc>
          <w:tcPr>
            <w:tcW w:w="1471" w:type="dxa"/>
          </w:tcPr>
          <w:p w14:paraId="386BDBB3" w14:textId="77777777" w:rsidR="00B75A14" w:rsidRPr="00561703" w:rsidRDefault="00B75A14" w:rsidP="00385456">
            <w:pPr>
              <w:jc w:val="center"/>
            </w:pPr>
            <w:r w:rsidRPr="00561703">
              <w:t>192</w:t>
            </w:r>
          </w:p>
        </w:tc>
        <w:tc>
          <w:tcPr>
            <w:tcW w:w="1472" w:type="dxa"/>
          </w:tcPr>
          <w:p w14:paraId="1CD845FC" w14:textId="77777777" w:rsidR="00B75A14" w:rsidRPr="00561703" w:rsidRDefault="00B75A14" w:rsidP="00385456">
            <w:pPr>
              <w:jc w:val="center"/>
            </w:pPr>
            <w:r w:rsidRPr="00561703">
              <w:t>442</w:t>
            </w:r>
          </w:p>
        </w:tc>
        <w:tc>
          <w:tcPr>
            <w:tcW w:w="1472" w:type="dxa"/>
          </w:tcPr>
          <w:p w14:paraId="300193DD" w14:textId="77777777" w:rsidR="00B75A14" w:rsidRPr="00561703" w:rsidRDefault="00B75A14" w:rsidP="00385456">
            <w:pPr>
              <w:jc w:val="center"/>
            </w:pPr>
            <w:r w:rsidRPr="00561703">
              <w:t>296</w:t>
            </w:r>
          </w:p>
        </w:tc>
        <w:tc>
          <w:tcPr>
            <w:tcW w:w="1472" w:type="dxa"/>
          </w:tcPr>
          <w:p w14:paraId="47924B6B" w14:textId="77777777" w:rsidR="00B75A14" w:rsidRPr="00561703" w:rsidRDefault="00B75A14" w:rsidP="00385456">
            <w:pPr>
              <w:jc w:val="center"/>
            </w:pPr>
            <w:r w:rsidRPr="00561703">
              <w:t>498</w:t>
            </w:r>
          </w:p>
        </w:tc>
      </w:tr>
    </w:tbl>
    <w:p w14:paraId="6F57F2BE" w14:textId="77777777" w:rsidR="00B75A14" w:rsidRPr="00561703" w:rsidRDefault="00B75A14" w:rsidP="006A2C51">
      <w:pPr>
        <w:tabs>
          <w:tab w:val="left" w:pos="567"/>
        </w:tabs>
        <w:rPr>
          <w:szCs w:val="28"/>
        </w:rPr>
      </w:pPr>
    </w:p>
    <w:p w14:paraId="79F3B84C" w14:textId="4C4056C9" w:rsidR="00B75A14" w:rsidRPr="00385456" w:rsidRDefault="00B75A14" w:rsidP="00BB64EF">
      <w:pPr>
        <w:pStyle w:val="Prrafodelista"/>
        <w:tabs>
          <w:tab w:val="left" w:pos="567"/>
        </w:tabs>
        <w:ind w:left="0"/>
      </w:pPr>
      <w:r w:rsidRPr="00561703">
        <w:t xml:space="preserve">En atención a </w:t>
      </w:r>
      <w:r w:rsidR="00BF1266" w:rsidRPr="00561703">
        <w:t>ello</w:t>
      </w:r>
      <w:r w:rsidRPr="00561703">
        <w:t xml:space="preserve"> se solicitará</w:t>
      </w:r>
      <w:r w:rsidR="00385456" w:rsidRPr="00561703">
        <w:t>,</w:t>
      </w:r>
      <w:r w:rsidRPr="00561703">
        <w:t xml:space="preserve"> a cada una de las entidades mencionadas</w:t>
      </w:r>
      <w:r w:rsidR="00385456" w:rsidRPr="00561703">
        <w:t>,</w:t>
      </w:r>
      <w:r w:rsidRPr="00561703">
        <w:t xml:space="preserve"> </w:t>
      </w:r>
      <w:r w:rsidR="00BF1266" w:rsidRPr="00561703">
        <w:t xml:space="preserve">precisar </w:t>
      </w:r>
      <w:r w:rsidR="00CF2101" w:rsidRPr="00561703">
        <w:t xml:space="preserve">la fuente </w:t>
      </w:r>
      <w:r w:rsidRPr="00561703">
        <w:t>de las cifras que mencionan en sus informes</w:t>
      </w:r>
      <w:r w:rsidR="00BF1266" w:rsidRPr="00561703">
        <w:t xml:space="preserve"> respecto al universo de mujeres identificadas en los anexos reservados de ambos Autos</w:t>
      </w:r>
      <w:r w:rsidRPr="00561703">
        <w:t>.</w:t>
      </w:r>
      <w:r>
        <w:t xml:space="preserve"> </w:t>
      </w:r>
    </w:p>
    <w:p w14:paraId="15F2251C" w14:textId="77777777" w:rsidR="00B75A14" w:rsidRDefault="00B75A14" w:rsidP="00BB64EF">
      <w:pPr>
        <w:pStyle w:val="Prrafodelista"/>
        <w:tabs>
          <w:tab w:val="left" w:pos="567"/>
        </w:tabs>
        <w:ind w:left="0"/>
        <w:rPr>
          <w:b/>
          <w:i/>
        </w:rPr>
      </w:pPr>
    </w:p>
    <w:p w14:paraId="4D8AD971" w14:textId="5B4E2B65" w:rsidR="00244053" w:rsidRDefault="00244053" w:rsidP="00BF1266">
      <w:pPr>
        <w:rPr>
          <w:rFonts w:cs="Times New Roman"/>
          <w:szCs w:val="28"/>
        </w:rPr>
      </w:pPr>
      <w:r w:rsidRPr="00E004D3">
        <w:rPr>
          <w:rFonts w:cs="Times New Roman"/>
          <w:szCs w:val="28"/>
        </w:rPr>
        <w:t xml:space="preserve">En </w:t>
      </w:r>
      <w:r w:rsidRPr="00054326">
        <w:rPr>
          <w:rFonts w:cs="Times New Roman"/>
          <w:szCs w:val="28"/>
        </w:rPr>
        <w:t xml:space="preserve">mérito de lo expuesto, la suscrita Magistrada, </w:t>
      </w:r>
    </w:p>
    <w:p w14:paraId="16A0E4DB" w14:textId="77777777" w:rsidR="00BF1266" w:rsidRPr="00BF1266" w:rsidRDefault="00BF1266" w:rsidP="00BF1266">
      <w:pPr>
        <w:rPr>
          <w:rFonts w:cs="Times New Roman"/>
          <w:szCs w:val="28"/>
        </w:rPr>
      </w:pPr>
    </w:p>
    <w:p w14:paraId="7FC0BF37" w14:textId="77777777" w:rsidR="00262BC4" w:rsidRDefault="00262BC4" w:rsidP="00262BC4">
      <w:pPr>
        <w:jc w:val="center"/>
        <w:rPr>
          <w:b/>
        </w:rPr>
      </w:pPr>
      <w:r>
        <w:rPr>
          <w:b/>
        </w:rPr>
        <w:t>RESUELVE</w:t>
      </w:r>
    </w:p>
    <w:p w14:paraId="2074A83A" w14:textId="77777777" w:rsidR="00262BC4" w:rsidRDefault="00262BC4" w:rsidP="00262BC4">
      <w:pPr>
        <w:jc w:val="center"/>
        <w:rPr>
          <w:b/>
        </w:rPr>
      </w:pPr>
    </w:p>
    <w:p w14:paraId="5F8E393C" w14:textId="439D422B" w:rsidR="009D31B5" w:rsidRPr="008357A7" w:rsidRDefault="00244053" w:rsidP="009D31B5">
      <w:pPr>
        <w:pStyle w:val="Prrafodelista"/>
        <w:numPr>
          <w:ilvl w:val="0"/>
          <w:numId w:val="5"/>
        </w:numPr>
        <w:ind w:left="0" w:firstLine="0"/>
      </w:pPr>
      <w:r w:rsidRPr="00054326">
        <w:rPr>
          <w:rFonts w:cs="Times New Roman"/>
          <w:szCs w:val="28"/>
        </w:rPr>
        <w:t xml:space="preserve">A través de la Secretaría General de la Corte Constitucional, </w:t>
      </w:r>
      <w:r w:rsidRPr="00054326">
        <w:rPr>
          <w:rFonts w:cs="Times New Roman"/>
          <w:b/>
          <w:szCs w:val="28"/>
        </w:rPr>
        <w:t xml:space="preserve">ORDENAR </w:t>
      </w:r>
      <w:r w:rsidRPr="00054326">
        <w:rPr>
          <w:rFonts w:cs="Times New Roman"/>
          <w:szCs w:val="28"/>
        </w:rPr>
        <w:t xml:space="preserve">al </w:t>
      </w:r>
      <w:r>
        <w:rPr>
          <w:szCs w:val="28"/>
          <w:shd w:val="clear" w:color="auto" w:fill="FFFFFF"/>
        </w:rPr>
        <w:t>Fiscal General de la Nación</w:t>
      </w:r>
      <w:r w:rsidRPr="00054326">
        <w:rPr>
          <w:rFonts w:cs="Times New Roman"/>
          <w:szCs w:val="28"/>
        </w:rPr>
        <w:t xml:space="preserve"> que, en el término de </w:t>
      </w:r>
      <w:r>
        <w:rPr>
          <w:rFonts w:cs="Times New Roman"/>
          <w:szCs w:val="28"/>
        </w:rPr>
        <w:t xml:space="preserve">veinte </w:t>
      </w:r>
      <w:r w:rsidRPr="00054326">
        <w:rPr>
          <w:rFonts w:cs="Times New Roman"/>
          <w:szCs w:val="28"/>
        </w:rPr>
        <w:t>(</w:t>
      </w:r>
      <w:r>
        <w:rPr>
          <w:rFonts w:cs="Times New Roman"/>
          <w:szCs w:val="28"/>
        </w:rPr>
        <w:t>20</w:t>
      </w:r>
      <w:r w:rsidRPr="00054326">
        <w:rPr>
          <w:rFonts w:cs="Times New Roman"/>
          <w:szCs w:val="28"/>
        </w:rPr>
        <w:t xml:space="preserve">) días, contados a partir de la notificación de esta providencia, </w:t>
      </w:r>
      <w:r w:rsidRPr="00054326">
        <w:rPr>
          <w:szCs w:val="28"/>
        </w:rPr>
        <w:t>informe a esta Sala Especial, de manera precisa y detallada</w:t>
      </w:r>
      <w:r w:rsidR="00A00180">
        <w:rPr>
          <w:szCs w:val="28"/>
        </w:rPr>
        <w:t>,</w:t>
      </w:r>
      <w:r>
        <w:rPr>
          <w:szCs w:val="28"/>
        </w:rPr>
        <w:t xml:space="preserve"> </w:t>
      </w:r>
      <w:r w:rsidR="009D31B5">
        <w:rPr>
          <w:szCs w:val="28"/>
          <w:shd w:val="clear" w:color="auto" w:fill="FFFFFF"/>
        </w:rPr>
        <w:t>los avances en la protección de los derechos fundamentales de las mujeres implicadas en los casos de los anexos reservados de los Autos 092 de 2008 y 009 de 2015.</w:t>
      </w:r>
      <w:r w:rsidR="009D31B5">
        <w:t xml:space="preserve"> </w:t>
      </w:r>
      <w:r w:rsidR="009D31B5" w:rsidRPr="008357A7">
        <w:rPr>
          <w:bCs/>
          <w:szCs w:val="28"/>
          <w:bdr w:val="none" w:sz="0" w:space="0" w:color="auto" w:frame="1"/>
          <w:shd w:val="clear" w:color="auto" w:fill="FFFFFF"/>
        </w:rPr>
        <w:t>Específicamente se le solicita responder lo siguiente:</w:t>
      </w:r>
      <w:r w:rsidR="009D31B5">
        <w:rPr>
          <w:bCs/>
          <w:szCs w:val="28"/>
          <w:bdr w:val="none" w:sz="0" w:space="0" w:color="auto" w:frame="1"/>
          <w:shd w:val="clear" w:color="auto" w:fill="FFFFFF"/>
        </w:rPr>
        <w:t xml:space="preserve"> </w:t>
      </w:r>
    </w:p>
    <w:p w14:paraId="371A3032" w14:textId="77777777" w:rsidR="009D31B5" w:rsidRDefault="009D31B5" w:rsidP="00A328CE">
      <w:pPr>
        <w:pStyle w:val="Prrafodelista"/>
        <w:ind w:left="0"/>
      </w:pPr>
    </w:p>
    <w:p w14:paraId="3D1BA75D" w14:textId="60F1BB5A" w:rsidR="00B76B8F" w:rsidRPr="00E46810" w:rsidRDefault="00B76B8F" w:rsidP="00B76B8F">
      <w:pPr>
        <w:pStyle w:val="Prrafodelista"/>
        <w:numPr>
          <w:ilvl w:val="0"/>
          <w:numId w:val="21"/>
        </w:numPr>
        <w:autoSpaceDE w:val="0"/>
        <w:autoSpaceDN w:val="0"/>
        <w:adjustRightInd w:val="0"/>
      </w:pPr>
      <w:r w:rsidRPr="00B76B8F">
        <w:t xml:space="preserve">En atención a </w:t>
      </w:r>
      <w:r w:rsidR="00CD337C">
        <w:t xml:space="preserve">lo mencionado en </w:t>
      </w:r>
      <w:r w:rsidR="00CD337C" w:rsidRPr="00E46810">
        <w:t xml:space="preserve">el fundamento </w:t>
      </w:r>
      <w:r w:rsidR="003A39DF" w:rsidRPr="00E46810">
        <w:t xml:space="preserve">jurídico </w:t>
      </w:r>
      <w:r w:rsidR="00CD337C" w:rsidRPr="00E46810">
        <w:t>5</w:t>
      </w:r>
      <w:r w:rsidRPr="00E46810">
        <w:t xml:space="preserve">, ¿cuántos casos, tanto del </w:t>
      </w:r>
      <w:r w:rsidRPr="00E46810">
        <w:rPr>
          <w:rFonts w:eastAsiaTheme="minorHAnsi" w:cs="Times New Roman"/>
          <w:b/>
          <w:szCs w:val="28"/>
        </w:rPr>
        <w:t xml:space="preserve">Auto 092 de 2008, </w:t>
      </w:r>
      <w:r w:rsidRPr="00E46810">
        <w:rPr>
          <w:rFonts w:eastAsiaTheme="minorHAnsi" w:cs="Times New Roman"/>
          <w:szCs w:val="28"/>
        </w:rPr>
        <w:t>como del Auto</w:t>
      </w:r>
      <w:r w:rsidRPr="00E46810">
        <w:rPr>
          <w:rFonts w:eastAsiaTheme="minorHAnsi" w:cs="Times New Roman"/>
          <w:b/>
          <w:szCs w:val="28"/>
        </w:rPr>
        <w:t xml:space="preserve"> 009 de 2015,</w:t>
      </w:r>
      <w:r w:rsidRPr="00E46810">
        <w:rPr>
          <w:rFonts w:eastAsiaTheme="minorHAnsi" w:cs="Times New Roman"/>
          <w:szCs w:val="28"/>
        </w:rPr>
        <w:t xml:space="preserve"> han sido objeto de investigación por la Fiscalía General de la Nación?</w:t>
      </w:r>
    </w:p>
    <w:p w14:paraId="101CDE93" w14:textId="77777777" w:rsidR="00B76B8F" w:rsidRPr="00E46810" w:rsidRDefault="00B76B8F" w:rsidP="00B76B8F">
      <w:pPr>
        <w:pStyle w:val="Prrafodelista"/>
        <w:autoSpaceDE w:val="0"/>
        <w:autoSpaceDN w:val="0"/>
        <w:adjustRightInd w:val="0"/>
      </w:pPr>
    </w:p>
    <w:p w14:paraId="2ABD5D85" w14:textId="23FE995E" w:rsidR="00B76B8F" w:rsidRPr="00E46810" w:rsidRDefault="00B76B8F" w:rsidP="00B76B8F">
      <w:pPr>
        <w:pStyle w:val="Prrafodelista"/>
        <w:numPr>
          <w:ilvl w:val="0"/>
          <w:numId w:val="21"/>
        </w:numPr>
        <w:autoSpaceDE w:val="0"/>
        <w:autoSpaceDN w:val="0"/>
        <w:adjustRightInd w:val="0"/>
      </w:pPr>
      <w:r w:rsidRPr="00E46810">
        <w:rPr>
          <w:rFonts w:eastAsiaTheme="minorHAnsi" w:cs="Times New Roman"/>
          <w:szCs w:val="28"/>
        </w:rPr>
        <w:t xml:space="preserve">En atención a </w:t>
      </w:r>
      <w:r w:rsidR="00CD337C" w:rsidRPr="00E46810">
        <w:rPr>
          <w:rFonts w:eastAsiaTheme="minorHAnsi" w:cs="Times New Roman"/>
          <w:szCs w:val="28"/>
        </w:rPr>
        <w:t>lo mencionado en el fundamento</w:t>
      </w:r>
      <w:r w:rsidR="003A39DF" w:rsidRPr="00E46810">
        <w:rPr>
          <w:rFonts w:eastAsiaTheme="minorHAnsi" w:cs="Times New Roman"/>
          <w:szCs w:val="28"/>
        </w:rPr>
        <w:t xml:space="preserve"> jurídico</w:t>
      </w:r>
      <w:r w:rsidR="00CD337C" w:rsidRPr="00E46810">
        <w:rPr>
          <w:rFonts w:eastAsiaTheme="minorHAnsi" w:cs="Times New Roman"/>
          <w:szCs w:val="28"/>
        </w:rPr>
        <w:t xml:space="preserve"> 6</w:t>
      </w:r>
      <w:r w:rsidRPr="00E46810">
        <w:rPr>
          <w:rFonts w:eastAsiaTheme="minorHAnsi" w:cs="Times New Roman"/>
          <w:szCs w:val="28"/>
        </w:rPr>
        <w:t>, ¿</w:t>
      </w:r>
      <w:r w:rsidRPr="00E46810">
        <w:t>cuál es el procedimiento a seguir respecto de: (i) los 6 casos a los que no se asignó equipo regional de trabajo; (ii)</w:t>
      </w:r>
      <w:r w:rsidR="003A1DFA">
        <w:t xml:space="preserve"> </w:t>
      </w:r>
      <w:r w:rsidRPr="00E46810">
        <w:t>los 63 casos (de los 166 asignados) en los que no se realizó entrevista; y (iii) las 51 personas no identificadas?</w:t>
      </w:r>
      <w:r w:rsidR="00F01721" w:rsidRPr="00E46810">
        <w:t xml:space="preserve"> ¿Cuántos de los 172 casos que no habían sido judicializados en el informe remitido en 2015, lograron ser judicializados hasta la fecha?</w:t>
      </w:r>
    </w:p>
    <w:p w14:paraId="2BFB4258" w14:textId="77777777" w:rsidR="00F01721" w:rsidRPr="00E46810" w:rsidRDefault="00F01721" w:rsidP="00F01721">
      <w:pPr>
        <w:autoSpaceDE w:val="0"/>
        <w:autoSpaceDN w:val="0"/>
        <w:adjustRightInd w:val="0"/>
      </w:pPr>
    </w:p>
    <w:p w14:paraId="523AD8A8" w14:textId="1A33E8B6" w:rsidR="00B76B8F" w:rsidRPr="00E46810" w:rsidRDefault="00B76B8F" w:rsidP="00B76B8F">
      <w:pPr>
        <w:pStyle w:val="Prrafodelista"/>
        <w:numPr>
          <w:ilvl w:val="0"/>
          <w:numId w:val="21"/>
        </w:numPr>
        <w:autoSpaceDE w:val="0"/>
        <w:autoSpaceDN w:val="0"/>
        <w:adjustRightInd w:val="0"/>
      </w:pPr>
      <w:r w:rsidRPr="00E46810">
        <w:rPr>
          <w:rFonts w:eastAsiaTheme="minorHAnsi" w:cs="Times New Roman"/>
          <w:szCs w:val="28"/>
        </w:rPr>
        <w:t xml:space="preserve">En atención a </w:t>
      </w:r>
      <w:r w:rsidR="00CD337C" w:rsidRPr="00E46810">
        <w:rPr>
          <w:rFonts w:eastAsiaTheme="minorHAnsi" w:cs="Times New Roman"/>
          <w:szCs w:val="28"/>
        </w:rPr>
        <w:t xml:space="preserve">lo mencionado en el fundamento </w:t>
      </w:r>
      <w:r w:rsidR="003A39DF" w:rsidRPr="00E46810">
        <w:rPr>
          <w:rFonts w:eastAsiaTheme="minorHAnsi" w:cs="Times New Roman"/>
          <w:szCs w:val="28"/>
        </w:rPr>
        <w:t xml:space="preserve">jurídico </w:t>
      </w:r>
      <w:r w:rsidR="00CD337C" w:rsidRPr="00E46810">
        <w:rPr>
          <w:rFonts w:eastAsiaTheme="minorHAnsi" w:cs="Times New Roman"/>
          <w:szCs w:val="28"/>
        </w:rPr>
        <w:t>7</w:t>
      </w:r>
      <w:r w:rsidRPr="00E46810">
        <w:rPr>
          <w:rFonts w:eastAsiaTheme="minorHAnsi" w:cs="Times New Roman"/>
          <w:szCs w:val="28"/>
        </w:rPr>
        <w:t xml:space="preserve">, </w:t>
      </w:r>
      <w:r w:rsidRPr="00E46810">
        <w:t xml:space="preserve">¿los fiscales que investigan los casos del </w:t>
      </w:r>
      <w:r w:rsidRPr="00E46810">
        <w:rPr>
          <w:b/>
        </w:rPr>
        <w:t>Auto 092 de 2008</w:t>
      </w:r>
      <w:r w:rsidRPr="00E46810">
        <w:t xml:space="preserve"> tienen asignados los casos del </w:t>
      </w:r>
      <w:r w:rsidRPr="00E46810">
        <w:rPr>
          <w:b/>
        </w:rPr>
        <w:t>Auto 009 de 2015</w:t>
      </w:r>
      <w:r w:rsidRPr="00E46810">
        <w:t xml:space="preserve"> y cuántos de ellos?</w:t>
      </w:r>
    </w:p>
    <w:p w14:paraId="4554B0C8" w14:textId="77777777" w:rsidR="00B76B8F" w:rsidRPr="00E46810" w:rsidRDefault="00B76B8F" w:rsidP="00B76B8F">
      <w:pPr>
        <w:pStyle w:val="Prrafodelista"/>
        <w:autoSpaceDE w:val="0"/>
        <w:autoSpaceDN w:val="0"/>
        <w:adjustRightInd w:val="0"/>
      </w:pPr>
    </w:p>
    <w:p w14:paraId="2F17BD50" w14:textId="39772272" w:rsidR="00B76B8F" w:rsidRPr="00E46810" w:rsidRDefault="00B76B8F" w:rsidP="00DB7F7F">
      <w:pPr>
        <w:pStyle w:val="Prrafodelista"/>
        <w:numPr>
          <w:ilvl w:val="0"/>
          <w:numId w:val="21"/>
        </w:numPr>
        <w:autoSpaceDE w:val="0"/>
        <w:autoSpaceDN w:val="0"/>
        <w:adjustRightInd w:val="0"/>
      </w:pPr>
      <w:r w:rsidRPr="00E46810">
        <w:t>En atención a lo m</w:t>
      </w:r>
      <w:r w:rsidR="00CD337C" w:rsidRPr="00E46810">
        <w:t xml:space="preserve">encionado en el fundamento </w:t>
      </w:r>
      <w:r w:rsidR="003A39DF" w:rsidRPr="00E46810">
        <w:t xml:space="preserve">jurídico </w:t>
      </w:r>
      <w:r w:rsidR="00CD337C" w:rsidRPr="00E46810">
        <w:t>10</w:t>
      </w:r>
      <w:r w:rsidR="00BC3279" w:rsidRPr="00E46810">
        <w:t>, ¿p</w:t>
      </w:r>
      <w:r w:rsidRPr="00E46810">
        <w:t xml:space="preserve">or qué la Fiscalía reporta información sobre 228 casos del </w:t>
      </w:r>
      <w:r w:rsidRPr="00E46810">
        <w:rPr>
          <w:b/>
        </w:rPr>
        <w:t>Auto 092 de 2008</w:t>
      </w:r>
      <w:r w:rsidRPr="00E46810">
        <w:t xml:space="preserve">, y no sobre los 183 que hacen parte de su anexo reservado; y sobre 402 casos del </w:t>
      </w:r>
      <w:r w:rsidRPr="00E46810">
        <w:rPr>
          <w:b/>
        </w:rPr>
        <w:t>Auto 009 de 2015</w:t>
      </w:r>
      <w:r w:rsidRPr="00E46810">
        <w:t xml:space="preserve">, y no de los 442 de su anexo reservado? </w:t>
      </w:r>
      <w:r w:rsidR="007143DC" w:rsidRPr="00E46810">
        <w:t>¿</w:t>
      </w:r>
      <w:r w:rsidR="003A39DF" w:rsidRPr="00E46810">
        <w:t>C</w:t>
      </w:r>
      <w:r w:rsidR="00CD337C" w:rsidRPr="00E46810">
        <w:t>uál es la situación de</w:t>
      </w:r>
      <w:r w:rsidR="007143DC" w:rsidRPr="00E46810">
        <w:t xml:space="preserve"> los casos restantes?</w:t>
      </w:r>
    </w:p>
    <w:p w14:paraId="0F5188D5" w14:textId="77777777" w:rsidR="00F54EF5" w:rsidRPr="00E46810" w:rsidRDefault="00F54EF5" w:rsidP="00F54EF5">
      <w:pPr>
        <w:autoSpaceDE w:val="0"/>
        <w:autoSpaceDN w:val="0"/>
        <w:adjustRightInd w:val="0"/>
      </w:pPr>
    </w:p>
    <w:p w14:paraId="55CA1A68" w14:textId="7793AF45" w:rsidR="00B76B8F" w:rsidRPr="00E46810" w:rsidRDefault="00427E02" w:rsidP="00B76B8F">
      <w:pPr>
        <w:pStyle w:val="Prrafodelista"/>
        <w:numPr>
          <w:ilvl w:val="0"/>
          <w:numId w:val="21"/>
        </w:numPr>
        <w:autoSpaceDE w:val="0"/>
        <w:autoSpaceDN w:val="0"/>
        <w:adjustRightInd w:val="0"/>
      </w:pPr>
      <w:r w:rsidRPr="00E46810">
        <w:t>En atención a l</w:t>
      </w:r>
      <w:r w:rsidR="00BC3279" w:rsidRPr="00E46810">
        <w:t xml:space="preserve">o mencionado en el fundamento </w:t>
      </w:r>
      <w:r w:rsidR="00064D93" w:rsidRPr="00E46810">
        <w:t xml:space="preserve">jurídico </w:t>
      </w:r>
      <w:r w:rsidR="00CD337C" w:rsidRPr="00E46810">
        <w:t>10</w:t>
      </w:r>
      <w:r w:rsidR="00BC3279" w:rsidRPr="00E46810">
        <w:t xml:space="preserve">, </w:t>
      </w:r>
      <w:r w:rsidR="00D86BCE" w:rsidRPr="00E46810">
        <w:t xml:space="preserve">(i) </w:t>
      </w:r>
      <w:r w:rsidR="00BC3279" w:rsidRPr="00E46810">
        <w:t>¿</w:t>
      </w:r>
      <w:r w:rsidR="00F54EF5" w:rsidRPr="00E46810">
        <w:t>por qué se incluyen dentro del total de investigaciones aquellos ca</w:t>
      </w:r>
      <w:r w:rsidR="00D86BCE" w:rsidRPr="00E46810">
        <w:t>sos que se encuentran inactivos?; (ii) ¿</w:t>
      </w:r>
      <w:r w:rsidR="003851BF" w:rsidRPr="00E46810">
        <w:t>qué significa que los</w:t>
      </w:r>
      <w:r w:rsidR="00F54EF5" w:rsidRPr="00E46810">
        <w:t xml:space="preserve"> casos que tienen sentencia y que fueron proce</w:t>
      </w:r>
      <w:r w:rsidR="003851BF" w:rsidRPr="00E46810">
        <w:t>sados por Ley 975 estén activos</w:t>
      </w:r>
      <w:r w:rsidR="00D86BCE" w:rsidRPr="00E46810">
        <w:t>?</w:t>
      </w:r>
      <w:r w:rsidR="00FA6121" w:rsidRPr="00E46810">
        <w:t>;</w:t>
      </w:r>
      <w:r w:rsidR="003851BF" w:rsidRPr="00E46810">
        <w:t xml:space="preserve"> (iii) </w:t>
      </w:r>
      <w:r w:rsidR="00FA6121" w:rsidRPr="00E46810">
        <w:t xml:space="preserve">¿cuántos de los procesos reportados como inactivos están archivados y cuántos finalizaron con sentencia?; (iv) </w:t>
      </w:r>
      <w:r w:rsidR="00D86BCE" w:rsidRPr="00E46810">
        <w:t>¿</w:t>
      </w:r>
      <w:r w:rsidR="003851BF" w:rsidRPr="00E46810">
        <w:t>cuál es el paso a seguir con relación a los casos con NUNC respecto de las cuales no se puede determina</w:t>
      </w:r>
      <w:r w:rsidR="00D86BCE" w:rsidRPr="00E46810">
        <w:t>r el estado de la investigación?</w:t>
      </w:r>
    </w:p>
    <w:p w14:paraId="656B8695" w14:textId="77777777" w:rsidR="00F54EF5" w:rsidRPr="00E46810" w:rsidRDefault="00F54EF5" w:rsidP="00FA6121"/>
    <w:p w14:paraId="17B0815F" w14:textId="77777777" w:rsidR="00A00180" w:rsidRDefault="00427E02" w:rsidP="00A00180">
      <w:pPr>
        <w:pStyle w:val="Prrafodelista"/>
        <w:numPr>
          <w:ilvl w:val="0"/>
          <w:numId w:val="21"/>
        </w:numPr>
        <w:autoSpaceDE w:val="0"/>
        <w:autoSpaceDN w:val="0"/>
        <w:adjustRightInd w:val="0"/>
      </w:pPr>
      <w:r w:rsidRPr="00E46810">
        <w:lastRenderedPageBreak/>
        <w:t>En atención a lo mencionado en el fundamento</w:t>
      </w:r>
      <w:r w:rsidR="003A39DF" w:rsidRPr="00E46810">
        <w:t xml:space="preserve"> jurídico</w:t>
      </w:r>
      <w:r w:rsidRPr="00E46810">
        <w:t xml:space="preserve"> </w:t>
      </w:r>
      <w:r w:rsidR="00CD337C" w:rsidRPr="00E46810">
        <w:t>10</w:t>
      </w:r>
      <w:r w:rsidRPr="00E46810">
        <w:t xml:space="preserve">, </w:t>
      </w:r>
      <w:r w:rsidR="00FA6121" w:rsidRPr="00E46810">
        <w:t>¿cuál es</w:t>
      </w:r>
      <w:r w:rsidR="00F54EF5" w:rsidRPr="00E46810">
        <w:t xml:space="preserve"> el estado procesal de los 33 casos del </w:t>
      </w:r>
      <w:r w:rsidR="00F54EF5" w:rsidRPr="00E46810">
        <w:rPr>
          <w:b/>
        </w:rPr>
        <w:t>Auto 092 de 2008</w:t>
      </w:r>
      <w:r w:rsidR="00F54EF5" w:rsidRPr="00E46810">
        <w:t xml:space="preserve"> sin SIJYP</w:t>
      </w:r>
      <w:r w:rsidR="00FA6121" w:rsidRPr="00E46810">
        <w:t>? ¿</w:t>
      </w:r>
      <w:r w:rsidR="003A39DF" w:rsidRPr="00E46810">
        <w:t>É</w:t>
      </w:r>
      <w:r w:rsidR="00F54EF5" w:rsidRPr="00E46810">
        <w:t>stos se encuentran incluidos en los casos rep</w:t>
      </w:r>
      <w:r w:rsidR="00FA6121" w:rsidRPr="00E46810">
        <w:t>ortados en Ley 600 o en Ley 906?</w:t>
      </w:r>
      <w:r w:rsidR="00F54EF5" w:rsidRPr="00E46810">
        <w:t xml:space="preserve"> </w:t>
      </w:r>
    </w:p>
    <w:p w14:paraId="1D1982A2" w14:textId="77777777" w:rsidR="00A00180" w:rsidRDefault="00A00180" w:rsidP="00A00180">
      <w:pPr>
        <w:pStyle w:val="Prrafodelista"/>
      </w:pPr>
    </w:p>
    <w:p w14:paraId="05EF23F3" w14:textId="77777777" w:rsidR="00A00180" w:rsidRPr="00A00180" w:rsidRDefault="00A00180" w:rsidP="00A00180">
      <w:pPr>
        <w:pStyle w:val="Prrafodelista"/>
        <w:numPr>
          <w:ilvl w:val="0"/>
          <w:numId w:val="21"/>
        </w:numPr>
        <w:autoSpaceDE w:val="0"/>
        <w:autoSpaceDN w:val="0"/>
        <w:adjustRightInd w:val="0"/>
      </w:pPr>
      <w:r>
        <w:t>E</w:t>
      </w:r>
      <w:r w:rsidR="00427E02" w:rsidRPr="00E46810">
        <w:t>n atención a lo mencionado en el fundamento</w:t>
      </w:r>
      <w:r w:rsidR="003A39DF" w:rsidRPr="00E46810">
        <w:t xml:space="preserve"> jurídico</w:t>
      </w:r>
      <w:r w:rsidR="00CD337C" w:rsidRPr="00E46810">
        <w:t xml:space="preserve"> 11</w:t>
      </w:r>
      <w:r w:rsidR="00427E02" w:rsidRPr="00E46810">
        <w:t xml:space="preserve">, (i) </w:t>
      </w:r>
      <w:r w:rsidR="00F74307" w:rsidRPr="00E46810">
        <w:t>¿</w:t>
      </w:r>
      <w:r w:rsidR="00427E02" w:rsidRPr="00E46810">
        <w:t xml:space="preserve">por qué razón varía notablemente la información presentada en la jornada </w:t>
      </w:r>
      <w:r w:rsidR="00427E02" w:rsidRPr="00A00180">
        <w:rPr>
          <w:rFonts w:cs="Times New Roman"/>
          <w:shd w:val="clear" w:color="auto" w:fill="FFFFFF"/>
        </w:rPr>
        <w:t xml:space="preserve">de trabajo interinstitucional del 17 de abril de 2018 con relación a la remitida en respuesta al </w:t>
      </w:r>
      <w:r w:rsidR="00427E02" w:rsidRPr="00A00180">
        <w:rPr>
          <w:rFonts w:cs="Times New Roman"/>
          <w:b/>
          <w:shd w:val="clear" w:color="auto" w:fill="FFFFFF"/>
        </w:rPr>
        <w:t>Auto 737 de 2017</w:t>
      </w:r>
      <w:r w:rsidR="00427E02" w:rsidRPr="00A00180">
        <w:rPr>
          <w:rFonts w:cs="Times New Roman"/>
          <w:shd w:val="clear" w:color="auto" w:fill="FFFFFF"/>
        </w:rPr>
        <w:t xml:space="preserve"> en mayo de 2018</w:t>
      </w:r>
      <w:r w:rsidR="00B51673" w:rsidRPr="00A00180">
        <w:rPr>
          <w:rFonts w:cs="Times New Roman"/>
          <w:shd w:val="clear" w:color="auto" w:fill="FFFFFF"/>
        </w:rPr>
        <w:t>?</w:t>
      </w:r>
      <w:r w:rsidR="00427E02" w:rsidRPr="00A00180">
        <w:rPr>
          <w:rFonts w:cs="Times New Roman"/>
          <w:shd w:val="clear" w:color="auto" w:fill="FFFFFF"/>
        </w:rPr>
        <w:t xml:space="preserve">; (ii) </w:t>
      </w:r>
      <w:r w:rsidR="00B51673" w:rsidRPr="00A00180">
        <w:rPr>
          <w:rFonts w:cs="Times New Roman"/>
          <w:shd w:val="clear" w:color="auto" w:fill="FFFFFF"/>
        </w:rPr>
        <w:t>¿</w:t>
      </w:r>
      <w:r w:rsidR="00427E02" w:rsidRPr="00A00180">
        <w:rPr>
          <w:rFonts w:cs="Times New Roman"/>
          <w:shd w:val="clear" w:color="auto" w:fill="FFFFFF"/>
        </w:rPr>
        <w:t>cuál es la diferencia entre los casos sin información presentados por cada sistema (33 por Ley 600, 3 por Ley 906 y 5 por Ley 975) y los 5 casos sin información de procedimiento</w:t>
      </w:r>
      <w:r w:rsidR="00B51673" w:rsidRPr="00A00180">
        <w:rPr>
          <w:rFonts w:cs="Times New Roman"/>
          <w:shd w:val="clear" w:color="auto" w:fill="FFFFFF"/>
        </w:rPr>
        <w:t>?</w:t>
      </w:r>
      <w:r w:rsidR="00427E02" w:rsidRPr="00A00180">
        <w:rPr>
          <w:rFonts w:cs="Times New Roman"/>
          <w:shd w:val="clear" w:color="auto" w:fill="FFFFFF"/>
        </w:rPr>
        <w:t xml:space="preserve">; (iii) </w:t>
      </w:r>
      <w:r w:rsidR="00B51673" w:rsidRPr="00A00180">
        <w:rPr>
          <w:rFonts w:cs="Times New Roman"/>
          <w:shd w:val="clear" w:color="auto" w:fill="FFFFFF"/>
        </w:rPr>
        <w:t>¿</w:t>
      </w:r>
      <w:r w:rsidR="00427E02" w:rsidRPr="00A00180">
        <w:rPr>
          <w:rFonts w:cs="Times New Roman"/>
          <w:shd w:val="clear" w:color="auto" w:fill="FFFFFF"/>
        </w:rPr>
        <w:t>cuál es la situación de los casos que se reportan por fuera del marco de la Ley 975</w:t>
      </w:r>
      <w:r w:rsidR="00B51673" w:rsidRPr="00A00180">
        <w:rPr>
          <w:rFonts w:cs="Times New Roman"/>
          <w:shd w:val="clear" w:color="auto" w:fill="FFFFFF"/>
        </w:rPr>
        <w:t>?</w:t>
      </w:r>
    </w:p>
    <w:p w14:paraId="19E89647" w14:textId="77777777" w:rsidR="00A00180" w:rsidRDefault="00A00180" w:rsidP="00A00180">
      <w:pPr>
        <w:pStyle w:val="Prrafodelista"/>
      </w:pPr>
    </w:p>
    <w:p w14:paraId="7B9104FE" w14:textId="65CA0760" w:rsidR="00FE1B9C" w:rsidRPr="00561703" w:rsidRDefault="00FE1B9C" w:rsidP="00A00180">
      <w:pPr>
        <w:pStyle w:val="Prrafodelista"/>
        <w:numPr>
          <w:ilvl w:val="0"/>
          <w:numId w:val="21"/>
        </w:numPr>
        <w:autoSpaceDE w:val="0"/>
        <w:autoSpaceDN w:val="0"/>
        <w:adjustRightInd w:val="0"/>
      </w:pPr>
      <w:r w:rsidRPr="00561703">
        <w:t>En atención a lo menciona</w:t>
      </w:r>
      <w:r w:rsidR="00A00180" w:rsidRPr="00561703">
        <w:t xml:space="preserve">do en el fundamento jurídico 19, </w:t>
      </w:r>
      <w:r w:rsidRPr="00561703">
        <w:t>¿</w:t>
      </w:r>
      <w:r w:rsidR="00A00180" w:rsidRPr="00561703">
        <w:t>C</w:t>
      </w:r>
      <w:r w:rsidRPr="00561703">
        <w:t xml:space="preserve">uál es la </w:t>
      </w:r>
      <w:r w:rsidR="00A00180" w:rsidRPr="00561703">
        <w:t>fuente</w:t>
      </w:r>
      <w:r w:rsidRPr="00561703">
        <w:t xml:space="preserve"> de las cifras expuestas por la entidad en relación con el universo de mujeres de los anexos reservados de los Autos 092 de 2008 y 009 de 2015?</w:t>
      </w:r>
    </w:p>
    <w:p w14:paraId="644CF102" w14:textId="77777777" w:rsidR="00A328CE" w:rsidRPr="00BB443F" w:rsidRDefault="00A328CE" w:rsidP="00BB443F">
      <w:pPr>
        <w:pStyle w:val="Prrafodelista"/>
        <w:autoSpaceDE w:val="0"/>
        <w:autoSpaceDN w:val="0"/>
        <w:adjustRightInd w:val="0"/>
        <w:rPr>
          <w:color w:val="538135" w:themeColor="accent6" w:themeShade="BF"/>
        </w:rPr>
      </w:pPr>
    </w:p>
    <w:p w14:paraId="1FAD87F1" w14:textId="1DE31E2A" w:rsidR="00484E3F" w:rsidRPr="008357A7" w:rsidRDefault="00244053" w:rsidP="00484E3F">
      <w:pPr>
        <w:pStyle w:val="Prrafodelista"/>
        <w:numPr>
          <w:ilvl w:val="0"/>
          <w:numId w:val="5"/>
        </w:numPr>
        <w:ind w:left="0" w:firstLine="0"/>
      </w:pPr>
      <w:r w:rsidRPr="00054326">
        <w:rPr>
          <w:rFonts w:cs="Times New Roman"/>
          <w:szCs w:val="28"/>
        </w:rPr>
        <w:t xml:space="preserve">A través de la Secretaría General de la Corte Constitucional, </w:t>
      </w:r>
      <w:r w:rsidRPr="00054326">
        <w:rPr>
          <w:rFonts w:cs="Times New Roman"/>
          <w:b/>
          <w:szCs w:val="28"/>
        </w:rPr>
        <w:t xml:space="preserve">ORDENAR </w:t>
      </w:r>
      <w:r w:rsidRPr="00054326">
        <w:rPr>
          <w:rFonts w:cs="Times New Roman"/>
          <w:szCs w:val="28"/>
        </w:rPr>
        <w:t xml:space="preserve">al </w:t>
      </w:r>
      <w:r>
        <w:rPr>
          <w:szCs w:val="28"/>
          <w:shd w:val="clear" w:color="auto" w:fill="FFFFFF"/>
        </w:rPr>
        <w:t>Procurador General de la Nación</w:t>
      </w:r>
      <w:r w:rsidRPr="00054326">
        <w:rPr>
          <w:rFonts w:cs="Times New Roman"/>
          <w:szCs w:val="28"/>
        </w:rPr>
        <w:t xml:space="preserve"> que, en el término de </w:t>
      </w:r>
      <w:r>
        <w:rPr>
          <w:rFonts w:cs="Times New Roman"/>
          <w:szCs w:val="28"/>
        </w:rPr>
        <w:t xml:space="preserve">veinte </w:t>
      </w:r>
      <w:r w:rsidRPr="00054326">
        <w:rPr>
          <w:rFonts w:cs="Times New Roman"/>
          <w:szCs w:val="28"/>
        </w:rPr>
        <w:t>(</w:t>
      </w:r>
      <w:r>
        <w:rPr>
          <w:rFonts w:cs="Times New Roman"/>
          <w:szCs w:val="28"/>
        </w:rPr>
        <w:t>20</w:t>
      </w:r>
      <w:r w:rsidRPr="00054326">
        <w:rPr>
          <w:rFonts w:cs="Times New Roman"/>
          <w:szCs w:val="28"/>
        </w:rPr>
        <w:t xml:space="preserve">) días, contados a partir de la notificación de esta providencia, </w:t>
      </w:r>
      <w:r w:rsidRPr="00054326">
        <w:rPr>
          <w:szCs w:val="28"/>
        </w:rPr>
        <w:t>informe a esta Sala Especial, de manera precisa y detallada</w:t>
      </w:r>
      <w:r w:rsidR="00FB7B03">
        <w:rPr>
          <w:szCs w:val="28"/>
        </w:rPr>
        <w:t>,</w:t>
      </w:r>
      <w:r>
        <w:rPr>
          <w:szCs w:val="28"/>
        </w:rPr>
        <w:t xml:space="preserve"> </w:t>
      </w:r>
      <w:r>
        <w:rPr>
          <w:szCs w:val="28"/>
          <w:shd w:val="clear" w:color="auto" w:fill="FFFFFF"/>
        </w:rPr>
        <w:t>los avances en la protección de los derechos fundamentales de las mujeres implicadas en los casos de los anexos reservados de los Autos 092 de 2008 y 009 de 2015.</w:t>
      </w:r>
      <w:r>
        <w:t xml:space="preserve"> </w:t>
      </w:r>
      <w:r w:rsidRPr="008357A7">
        <w:rPr>
          <w:bCs/>
          <w:szCs w:val="28"/>
          <w:bdr w:val="none" w:sz="0" w:space="0" w:color="auto" w:frame="1"/>
          <w:shd w:val="clear" w:color="auto" w:fill="FFFFFF"/>
        </w:rPr>
        <w:t>Específicamente se le</w:t>
      </w:r>
      <w:r>
        <w:rPr>
          <w:bCs/>
          <w:szCs w:val="28"/>
          <w:bdr w:val="none" w:sz="0" w:space="0" w:color="auto" w:frame="1"/>
          <w:shd w:val="clear" w:color="auto" w:fill="FFFFFF"/>
        </w:rPr>
        <w:t xml:space="preserve"> solicita responder lo siguiente:</w:t>
      </w:r>
      <w:r w:rsidR="00484E3F">
        <w:rPr>
          <w:bCs/>
          <w:szCs w:val="28"/>
          <w:bdr w:val="none" w:sz="0" w:space="0" w:color="auto" w:frame="1"/>
          <w:shd w:val="clear" w:color="auto" w:fill="FFFFFF"/>
        </w:rPr>
        <w:t xml:space="preserve"> </w:t>
      </w:r>
    </w:p>
    <w:p w14:paraId="7504EB42" w14:textId="77777777" w:rsidR="00B762C9" w:rsidRDefault="00B762C9" w:rsidP="00B762C9">
      <w:pPr>
        <w:pStyle w:val="Prrafodelista"/>
        <w:ind w:left="0"/>
      </w:pPr>
    </w:p>
    <w:p w14:paraId="6DD6230B" w14:textId="3127F330" w:rsidR="003025E2" w:rsidRPr="00E46810" w:rsidRDefault="0018659E" w:rsidP="003025E2">
      <w:pPr>
        <w:pStyle w:val="Prrafodelista"/>
        <w:numPr>
          <w:ilvl w:val="0"/>
          <w:numId w:val="23"/>
        </w:numPr>
        <w:autoSpaceDE w:val="0"/>
        <w:autoSpaceDN w:val="0"/>
        <w:adjustRightInd w:val="0"/>
      </w:pPr>
      <w:r w:rsidRPr="00B76B8F">
        <w:t>En atención a</w:t>
      </w:r>
      <w:r>
        <w:t xml:space="preserve"> lo mencionado e</w:t>
      </w:r>
      <w:r w:rsidRPr="00E46810">
        <w:t>n el f</w:t>
      </w:r>
      <w:r w:rsidR="00CD337C" w:rsidRPr="00E46810">
        <w:rPr>
          <w:szCs w:val="28"/>
          <w:shd w:val="clear" w:color="auto" w:fill="FFFFFF"/>
        </w:rPr>
        <w:t>undamento</w:t>
      </w:r>
      <w:r w:rsidR="003A39DF" w:rsidRPr="00E46810">
        <w:rPr>
          <w:szCs w:val="28"/>
          <w:shd w:val="clear" w:color="auto" w:fill="FFFFFF"/>
        </w:rPr>
        <w:t xml:space="preserve"> jurídico</w:t>
      </w:r>
      <w:r w:rsidR="00CD337C" w:rsidRPr="00E46810">
        <w:rPr>
          <w:szCs w:val="28"/>
          <w:shd w:val="clear" w:color="auto" w:fill="FFFFFF"/>
        </w:rPr>
        <w:t xml:space="preserve"> 13</w:t>
      </w:r>
      <w:r w:rsidRPr="00E46810">
        <w:rPr>
          <w:szCs w:val="28"/>
          <w:shd w:val="clear" w:color="auto" w:fill="FFFFFF"/>
        </w:rPr>
        <w:t>, ¿</w:t>
      </w:r>
      <w:r w:rsidR="00BE0A16" w:rsidRPr="00E46810">
        <w:rPr>
          <w:szCs w:val="28"/>
          <w:shd w:val="clear" w:color="auto" w:fill="FFFFFF"/>
        </w:rPr>
        <w:t>cuá</w:t>
      </w:r>
      <w:r w:rsidR="00F06E7F" w:rsidRPr="00E46810">
        <w:rPr>
          <w:szCs w:val="28"/>
          <w:shd w:val="clear" w:color="auto" w:fill="FFFFFF"/>
        </w:rPr>
        <w:t>les son los avances en el levantamiento de la línea base a través de la</w:t>
      </w:r>
      <w:r w:rsidR="00BE0A16" w:rsidRPr="00E46810">
        <w:rPr>
          <w:szCs w:val="28"/>
          <w:shd w:val="clear" w:color="auto" w:fill="FFFFFF"/>
        </w:rPr>
        <w:t xml:space="preserve"> medición de los </w:t>
      </w:r>
      <w:r w:rsidR="00C16963" w:rsidRPr="00E46810">
        <w:t xml:space="preserve">indicadores </w:t>
      </w:r>
      <w:r w:rsidR="00F06E7F" w:rsidRPr="00E46810">
        <w:t xml:space="preserve">desarrollados </w:t>
      </w:r>
      <w:r w:rsidR="00DE5619" w:rsidRPr="00E46810">
        <w:t xml:space="preserve">por la Procuraduría </w:t>
      </w:r>
      <w:r w:rsidR="00F06E7F" w:rsidRPr="00E46810">
        <w:t>para evaluar la gestión de vigilancia en los procesos penales relativos a hechos de violencia sexual con ocasión al conflicto armado y al desplazamiento?</w:t>
      </w:r>
      <w:r w:rsidR="00C16963" w:rsidRPr="00E46810">
        <w:t xml:space="preserve"> </w:t>
      </w:r>
    </w:p>
    <w:p w14:paraId="0CFACB2D" w14:textId="77777777" w:rsidR="003025E2" w:rsidRPr="00E46810" w:rsidRDefault="003025E2" w:rsidP="003025E2">
      <w:pPr>
        <w:pStyle w:val="Prrafodelista"/>
        <w:autoSpaceDE w:val="0"/>
        <w:autoSpaceDN w:val="0"/>
        <w:adjustRightInd w:val="0"/>
      </w:pPr>
    </w:p>
    <w:p w14:paraId="01072EE0" w14:textId="4D0E7340" w:rsidR="003025E2" w:rsidRPr="00E46810" w:rsidRDefault="00BB443F" w:rsidP="003025E2">
      <w:pPr>
        <w:pStyle w:val="Prrafodelista"/>
        <w:numPr>
          <w:ilvl w:val="0"/>
          <w:numId w:val="23"/>
        </w:numPr>
        <w:autoSpaceDE w:val="0"/>
        <w:autoSpaceDN w:val="0"/>
        <w:adjustRightInd w:val="0"/>
      </w:pPr>
      <w:r w:rsidRPr="00E46810">
        <w:t>En atención a lo mencionado en el f</w:t>
      </w:r>
      <w:r w:rsidR="00CD337C" w:rsidRPr="00E46810">
        <w:rPr>
          <w:szCs w:val="28"/>
          <w:shd w:val="clear" w:color="auto" w:fill="FFFFFF"/>
        </w:rPr>
        <w:t>undamento</w:t>
      </w:r>
      <w:r w:rsidR="003A39DF" w:rsidRPr="00E46810">
        <w:rPr>
          <w:szCs w:val="28"/>
          <w:shd w:val="clear" w:color="auto" w:fill="FFFFFF"/>
        </w:rPr>
        <w:t xml:space="preserve"> jurídico</w:t>
      </w:r>
      <w:r w:rsidR="00CD337C" w:rsidRPr="00E46810">
        <w:rPr>
          <w:szCs w:val="28"/>
          <w:shd w:val="clear" w:color="auto" w:fill="FFFFFF"/>
        </w:rPr>
        <w:t xml:space="preserve"> 14</w:t>
      </w:r>
      <w:r w:rsidR="00FB1EB5" w:rsidRPr="00E46810">
        <w:rPr>
          <w:szCs w:val="28"/>
          <w:shd w:val="clear" w:color="auto" w:fill="FFFFFF"/>
        </w:rPr>
        <w:t>,</w:t>
      </w:r>
      <w:r w:rsidR="00763C64" w:rsidRPr="00E46810">
        <w:rPr>
          <w:szCs w:val="28"/>
          <w:shd w:val="clear" w:color="auto" w:fill="FFFFFF"/>
        </w:rPr>
        <w:t xml:space="preserve"> </w:t>
      </w:r>
      <w:r w:rsidR="00FB1EB5" w:rsidRPr="00E46810">
        <w:rPr>
          <w:szCs w:val="28"/>
          <w:shd w:val="clear" w:color="auto" w:fill="FFFFFF"/>
        </w:rPr>
        <w:t>¿</w:t>
      </w:r>
      <w:r w:rsidR="00F07FC8" w:rsidRPr="00E46810">
        <w:rPr>
          <w:szCs w:val="28"/>
          <w:shd w:val="clear" w:color="auto" w:fill="FFFFFF"/>
        </w:rPr>
        <w:t xml:space="preserve">Por qué </w:t>
      </w:r>
      <w:r w:rsidR="00F07FC8" w:rsidRPr="00E46810">
        <w:t>se constituyeron</w:t>
      </w:r>
      <w:r w:rsidR="008A666C" w:rsidRPr="00E46810">
        <w:t xml:space="preserve"> agencias especiales </w:t>
      </w:r>
      <w:r w:rsidR="00DE5619" w:rsidRPr="00E46810">
        <w:t xml:space="preserve">solamente </w:t>
      </w:r>
      <w:r w:rsidR="008A666C" w:rsidRPr="00E46810">
        <w:t xml:space="preserve">en 36 de los 183 casos del anexo reservado del </w:t>
      </w:r>
      <w:r w:rsidR="008A666C" w:rsidRPr="00E46810">
        <w:rPr>
          <w:b/>
        </w:rPr>
        <w:t>Auto 092 de 2008</w:t>
      </w:r>
      <w:r w:rsidR="008A666C" w:rsidRPr="00E46810">
        <w:t xml:space="preserve"> y en 130 de los 442 casos del anexo reservado del </w:t>
      </w:r>
      <w:r w:rsidR="008A666C" w:rsidRPr="00E46810">
        <w:rPr>
          <w:b/>
        </w:rPr>
        <w:t>Auto 009 de 2015</w:t>
      </w:r>
      <w:r w:rsidR="00F07FC8" w:rsidRPr="00E46810">
        <w:rPr>
          <w:b/>
        </w:rPr>
        <w:t xml:space="preserve">? </w:t>
      </w:r>
      <w:r w:rsidR="00F07FC8" w:rsidRPr="00E46810">
        <w:t>¿qué pasa con los casos restantes?</w:t>
      </w:r>
    </w:p>
    <w:p w14:paraId="47B2EE99" w14:textId="77777777" w:rsidR="003025E2" w:rsidRPr="00E46810" w:rsidRDefault="003025E2" w:rsidP="003025E2">
      <w:pPr>
        <w:autoSpaceDE w:val="0"/>
        <w:autoSpaceDN w:val="0"/>
        <w:adjustRightInd w:val="0"/>
      </w:pPr>
    </w:p>
    <w:p w14:paraId="58F20798" w14:textId="77777777" w:rsidR="00BF1266" w:rsidRDefault="0008518C" w:rsidP="00BF1266">
      <w:pPr>
        <w:pStyle w:val="Prrafodelista"/>
        <w:numPr>
          <w:ilvl w:val="0"/>
          <w:numId w:val="23"/>
        </w:numPr>
        <w:autoSpaceDE w:val="0"/>
        <w:autoSpaceDN w:val="0"/>
        <w:adjustRightInd w:val="0"/>
      </w:pPr>
      <w:r w:rsidRPr="00E46810">
        <w:t>En atención a lo mencionado en el f</w:t>
      </w:r>
      <w:r w:rsidRPr="00E46810">
        <w:rPr>
          <w:szCs w:val="28"/>
          <w:shd w:val="clear" w:color="auto" w:fill="FFFFFF"/>
        </w:rPr>
        <w:t>undamento</w:t>
      </w:r>
      <w:r w:rsidR="00CD337C" w:rsidRPr="00E46810">
        <w:rPr>
          <w:szCs w:val="28"/>
          <w:shd w:val="clear" w:color="auto" w:fill="FFFFFF"/>
        </w:rPr>
        <w:t xml:space="preserve"> </w:t>
      </w:r>
      <w:r w:rsidR="003A39DF" w:rsidRPr="00E46810">
        <w:rPr>
          <w:szCs w:val="28"/>
          <w:shd w:val="clear" w:color="auto" w:fill="FFFFFF"/>
        </w:rPr>
        <w:t xml:space="preserve">jurídico </w:t>
      </w:r>
      <w:r w:rsidR="00CD337C" w:rsidRPr="00E46810">
        <w:rPr>
          <w:szCs w:val="28"/>
          <w:shd w:val="clear" w:color="auto" w:fill="FFFFFF"/>
        </w:rPr>
        <w:t>15</w:t>
      </w:r>
      <w:r w:rsidR="00D05F09" w:rsidRPr="00E46810">
        <w:rPr>
          <w:szCs w:val="28"/>
          <w:shd w:val="clear" w:color="auto" w:fill="FFFFFF"/>
        </w:rPr>
        <w:t>,</w:t>
      </w:r>
      <w:r w:rsidR="00763C64" w:rsidRPr="00E46810">
        <w:t xml:space="preserve"> (i) </w:t>
      </w:r>
      <w:r w:rsidR="00D05F09" w:rsidRPr="00E46810">
        <w:t>¿a</w:t>
      </w:r>
      <w:r w:rsidR="00763C64" w:rsidRPr="00E46810">
        <w:t xml:space="preserve"> qué se debe la variación en la información sobre el estado procesal de los casos del </w:t>
      </w:r>
      <w:r w:rsidR="00763C64" w:rsidRPr="00E46810">
        <w:rPr>
          <w:b/>
        </w:rPr>
        <w:t>Auto 009 de 2015</w:t>
      </w:r>
      <w:r w:rsidR="005F4945">
        <w:rPr>
          <w:b/>
        </w:rPr>
        <w:t xml:space="preserve"> </w:t>
      </w:r>
      <w:r w:rsidR="005F4945" w:rsidRPr="009D010B">
        <w:t>presentada en la jornada de trabajo interinstitucional de abril de 2018 y la respuesta enviada por la Procuraduría a esta Sala Especial en mayo del mismo año</w:t>
      </w:r>
      <w:r w:rsidR="00763C64" w:rsidRPr="00E46810">
        <w:t xml:space="preserve">?; (ii) ¿en qué estado procesal se encuentran los 247 casos en verificación? ¿tales casos tienen agencia especial?; (iii) </w:t>
      </w:r>
      <w:r w:rsidR="00D05F09" w:rsidRPr="00E46810">
        <w:t>¿</w:t>
      </w:r>
      <w:r w:rsidR="00763C64" w:rsidRPr="00E46810">
        <w:t>en qué estado procesal se encuentran los 66 casos de justicia transicional en documentación?</w:t>
      </w:r>
    </w:p>
    <w:p w14:paraId="038B59E9" w14:textId="77777777" w:rsidR="00BF1266" w:rsidRDefault="00BF1266" w:rsidP="00BF1266">
      <w:pPr>
        <w:pStyle w:val="Prrafodelista"/>
      </w:pPr>
    </w:p>
    <w:p w14:paraId="7003EDEE" w14:textId="46BCFA25" w:rsidR="00FE1B9C" w:rsidRPr="00561703" w:rsidRDefault="00BF1266" w:rsidP="00BF1266">
      <w:pPr>
        <w:pStyle w:val="Prrafodelista"/>
        <w:numPr>
          <w:ilvl w:val="0"/>
          <w:numId w:val="23"/>
        </w:numPr>
        <w:autoSpaceDE w:val="0"/>
        <w:autoSpaceDN w:val="0"/>
        <w:adjustRightInd w:val="0"/>
      </w:pPr>
      <w:r w:rsidRPr="00561703">
        <w:lastRenderedPageBreak/>
        <w:t>En atención a lo mencionado en el fundamento jurídico 19, ¿Cuál es la fuente de las cifras expuestas por la entidad en relación con el universo de mujeres de los anexos reservados de los Autos 092 de 2008 y 009 de 2015?</w:t>
      </w:r>
    </w:p>
    <w:p w14:paraId="2E44DCB8" w14:textId="77777777" w:rsidR="00B762C9" w:rsidRPr="00E46810" w:rsidRDefault="00B762C9" w:rsidP="00B762C9">
      <w:pPr>
        <w:pStyle w:val="Prrafodelista"/>
        <w:ind w:left="0"/>
      </w:pPr>
    </w:p>
    <w:p w14:paraId="0F90DE4E" w14:textId="79CFF056" w:rsidR="00321BE8" w:rsidRPr="00E46810" w:rsidRDefault="00244053" w:rsidP="00321BE8">
      <w:pPr>
        <w:pStyle w:val="Prrafodelista"/>
        <w:numPr>
          <w:ilvl w:val="0"/>
          <w:numId w:val="5"/>
        </w:numPr>
        <w:ind w:left="0" w:firstLine="0"/>
      </w:pPr>
      <w:r w:rsidRPr="00E46810">
        <w:rPr>
          <w:rFonts w:cs="Times New Roman"/>
          <w:szCs w:val="28"/>
        </w:rPr>
        <w:t xml:space="preserve">A través de la Secretaría General de la Corte Constitucional, </w:t>
      </w:r>
      <w:r w:rsidRPr="00E46810">
        <w:rPr>
          <w:rFonts w:cs="Times New Roman"/>
          <w:b/>
          <w:szCs w:val="28"/>
        </w:rPr>
        <w:t xml:space="preserve">ORDENAR </w:t>
      </w:r>
      <w:r w:rsidRPr="00E46810">
        <w:rPr>
          <w:rFonts w:cs="Times New Roman"/>
          <w:szCs w:val="28"/>
        </w:rPr>
        <w:t xml:space="preserve">a la </w:t>
      </w:r>
      <w:r w:rsidR="00CD337C" w:rsidRPr="00E46810">
        <w:rPr>
          <w:rFonts w:eastAsiaTheme="minorHAnsi" w:cs="Times New Roman"/>
          <w:szCs w:val="28"/>
        </w:rPr>
        <w:t>Unidad para la Atención y Reparación Integral a las Víctimas</w:t>
      </w:r>
      <w:r w:rsidRPr="00E46810">
        <w:rPr>
          <w:rFonts w:cs="Times New Roman"/>
          <w:szCs w:val="28"/>
        </w:rPr>
        <w:t xml:space="preserve"> que, en el término de veinte (20) días, contados a partir de la notificación de esta providencia, </w:t>
      </w:r>
      <w:r w:rsidRPr="00E46810">
        <w:rPr>
          <w:szCs w:val="28"/>
        </w:rPr>
        <w:t>informe a esta Sala Especial, de manera precisa y detallada</w:t>
      </w:r>
      <w:r w:rsidR="00FB7B03">
        <w:rPr>
          <w:szCs w:val="28"/>
        </w:rPr>
        <w:t xml:space="preserve">, </w:t>
      </w:r>
      <w:r w:rsidRPr="00E46810">
        <w:rPr>
          <w:szCs w:val="28"/>
          <w:shd w:val="clear" w:color="auto" w:fill="FFFFFF"/>
        </w:rPr>
        <w:t>los avances en la protección de los derechos fundamentales de las mujeres implicadas en los casos de los anexos reservados de los Autos 092 de 2008 y 009 de 2015.</w:t>
      </w:r>
      <w:r w:rsidRPr="00E46810">
        <w:t xml:space="preserve"> </w:t>
      </w:r>
      <w:r w:rsidRPr="00E46810">
        <w:rPr>
          <w:bCs/>
          <w:szCs w:val="28"/>
          <w:bdr w:val="none" w:sz="0" w:space="0" w:color="auto" w:frame="1"/>
          <w:shd w:val="clear" w:color="auto" w:fill="FFFFFF"/>
        </w:rPr>
        <w:t>Específicamente se le solicita responder lo siguiente</w:t>
      </w:r>
      <w:r w:rsidR="00321BE8" w:rsidRPr="00E46810">
        <w:rPr>
          <w:bCs/>
          <w:szCs w:val="28"/>
          <w:bdr w:val="none" w:sz="0" w:space="0" w:color="auto" w:frame="1"/>
          <w:shd w:val="clear" w:color="auto" w:fill="FFFFFF"/>
        </w:rPr>
        <w:t xml:space="preserve">: </w:t>
      </w:r>
    </w:p>
    <w:p w14:paraId="0341E74E" w14:textId="77777777" w:rsidR="00321BE8" w:rsidRPr="00E46810" w:rsidRDefault="00321BE8" w:rsidP="00321BE8">
      <w:pPr>
        <w:pStyle w:val="Prrafodelista"/>
        <w:ind w:left="0"/>
        <w:rPr>
          <w:szCs w:val="28"/>
          <w:shd w:val="clear" w:color="auto" w:fill="FFFFFF"/>
        </w:rPr>
      </w:pPr>
    </w:p>
    <w:p w14:paraId="63422A1B" w14:textId="7C82B927" w:rsidR="006D14C0" w:rsidRPr="00E46810" w:rsidRDefault="006D14C0" w:rsidP="006D14C0">
      <w:pPr>
        <w:pStyle w:val="Prrafodelista"/>
        <w:numPr>
          <w:ilvl w:val="0"/>
          <w:numId w:val="24"/>
        </w:numPr>
        <w:rPr>
          <w:szCs w:val="28"/>
          <w:shd w:val="clear" w:color="auto" w:fill="FFFFFF"/>
        </w:rPr>
      </w:pPr>
      <w:r w:rsidRPr="00E46810">
        <w:rPr>
          <w:szCs w:val="28"/>
          <w:shd w:val="clear" w:color="auto" w:fill="FFFFFF"/>
        </w:rPr>
        <w:t>En atención a l</w:t>
      </w:r>
      <w:r w:rsidR="00CD337C" w:rsidRPr="00E46810">
        <w:rPr>
          <w:szCs w:val="28"/>
          <w:shd w:val="clear" w:color="auto" w:fill="FFFFFF"/>
        </w:rPr>
        <w:t>o mencionado en el fundamento</w:t>
      </w:r>
      <w:r w:rsidR="003A39DF" w:rsidRPr="00E46810">
        <w:rPr>
          <w:szCs w:val="28"/>
          <w:shd w:val="clear" w:color="auto" w:fill="FFFFFF"/>
        </w:rPr>
        <w:t xml:space="preserve"> jurídico</w:t>
      </w:r>
      <w:r w:rsidR="00CD337C" w:rsidRPr="00E46810">
        <w:rPr>
          <w:szCs w:val="28"/>
          <w:shd w:val="clear" w:color="auto" w:fill="FFFFFF"/>
        </w:rPr>
        <w:t xml:space="preserve"> 17</w:t>
      </w:r>
      <w:r w:rsidRPr="00E46810">
        <w:rPr>
          <w:szCs w:val="28"/>
          <w:shd w:val="clear" w:color="auto" w:fill="FFFFFF"/>
        </w:rPr>
        <w:t xml:space="preserve">, ¿cuáles son </w:t>
      </w:r>
      <w:r w:rsidRPr="00E46810">
        <w:rPr>
          <w:szCs w:val="28"/>
        </w:rPr>
        <w:t xml:space="preserve">las acciones a seguir con relación a (i) las 22 mujeres que ya fueron identificadas y no se han incluido en el RUV; (ii) las 151 mujeres aproximadamente que no se han podido identificar; (iii) las mujeres que ya están en el RUV y no han sido indemnizadas; y, finalmente, (iv) las medidas adoptadas por la UARIV para garantizar que su oferta institucional llegue a las mujeres implicadas en los anexos reservados? </w:t>
      </w:r>
    </w:p>
    <w:p w14:paraId="4A04A7A3" w14:textId="77777777" w:rsidR="000C35EF" w:rsidRPr="00E46810" w:rsidRDefault="000C35EF" w:rsidP="000C35EF">
      <w:pPr>
        <w:pStyle w:val="Default"/>
        <w:ind w:left="720"/>
        <w:jc w:val="both"/>
        <w:rPr>
          <w:rFonts w:eastAsiaTheme="minorEastAsia" w:cstheme="minorBidi"/>
          <w:color w:val="auto"/>
          <w:sz w:val="28"/>
          <w:szCs w:val="28"/>
        </w:rPr>
      </w:pPr>
    </w:p>
    <w:p w14:paraId="153B036E" w14:textId="1212F255" w:rsidR="006D14C0" w:rsidRPr="00E46810" w:rsidRDefault="000C35EF" w:rsidP="000C35EF">
      <w:pPr>
        <w:pStyle w:val="Default"/>
        <w:numPr>
          <w:ilvl w:val="0"/>
          <w:numId w:val="24"/>
        </w:numPr>
        <w:jc w:val="both"/>
        <w:rPr>
          <w:rFonts w:eastAsiaTheme="minorEastAsia" w:cstheme="minorBidi"/>
          <w:color w:val="auto"/>
          <w:sz w:val="28"/>
          <w:szCs w:val="28"/>
        </w:rPr>
      </w:pPr>
      <w:r w:rsidRPr="00E46810">
        <w:rPr>
          <w:color w:val="auto"/>
          <w:sz w:val="28"/>
          <w:szCs w:val="28"/>
          <w:shd w:val="clear" w:color="auto" w:fill="FFFFFF"/>
        </w:rPr>
        <w:t>En atención a l</w:t>
      </w:r>
      <w:r w:rsidR="00CD337C" w:rsidRPr="00E46810">
        <w:rPr>
          <w:color w:val="auto"/>
          <w:sz w:val="28"/>
          <w:szCs w:val="28"/>
          <w:shd w:val="clear" w:color="auto" w:fill="FFFFFF"/>
        </w:rPr>
        <w:t>o mencionado en el fundamento</w:t>
      </w:r>
      <w:r w:rsidR="003A39DF" w:rsidRPr="00E46810">
        <w:rPr>
          <w:color w:val="auto"/>
          <w:sz w:val="28"/>
          <w:szCs w:val="28"/>
          <w:shd w:val="clear" w:color="auto" w:fill="FFFFFF"/>
        </w:rPr>
        <w:t xml:space="preserve"> jurídico</w:t>
      </w:r>
      <w:r w:rsidR="00CD337C" w:rsidRPr="00E46810">
        <w:rPr>
          <w:color w:val="auto"/>
          <w:sz w:val="28"/>
          <w:szCs w:val="28"/>
          <w:shd w:val="clear" w:color="auto" w:fill="FFFFFF"/>
        </w:rPr>
        <w:t xml:space="preserve"> 17</w:t>
      </w:r>
      <w:r w:rsidRPr="00E46810">
        <w:rPr>
          <w:color w:val="auto"/>
          <w:sz w:val="28"/>
          <w:szCs w:val="28"/>
          <w:shd w:val="clear" w:color="auto" w:fill="FFFFFF"/>
        </w:rPr>
        <w:t>, (</w:t>
      </w:r>
      <w:r w:rsidR="006D14C0" w:rsidRPr="00E46810">
        <w:rPr>
          <w:color w:val="auto"/>
          <w:sz w:val="28"/>
          <w:szCs w:val="28"/>
        </w:rPr>
        <w:t xml:space="preserve">i) </w:t>
      </w:r>
      <w:r w:rsidRPr="00E46810">
        <w:rPr>
          <w:color w:val="auto"/>
          <w:sz w:val="28"/>
          <w:szCs w:val="28"/>
        </w:rPr>
        <w:t xml:space="preserve">¿cuántas de las </w:t>
      </w:r>
      <w:r w:rsidR="006D14C0" w:rsidRPr="00E46810">
        <w:rPr>
          <w:color w:val="auto"/>
          <w:sz w:val="28"/>
          <w:szCs w:val="28"/>
        </w:rPr>
        <w:t xml:space="preserve">mujeres incluidas en el anexo reservado del </w:t>
      </w:r>
      <w:r w:rsidR="006D14C0" w:rsidRPr="00E46810">
        <w:rPr>
          <w:b/>
          <w:color w:val="auto"/>
          <w:sz w:val="28"/>
          <w:szCs w:val="28"/>
        </w:rPr>
        <w:t>Auto 009 de 2015</w:t>
      </w:r>
      <w:r w:rsidR="006D14C0" w:rsidRPr="00E46810">
        <w:rPr>
          <w:color w:val="auto"/>
          <w:sz w:val="28"/>
          <w:szCs w:val="28"/>
        </w:rPr>
        <w:t xml:space="preserve"> se encuentran efectivamente incluidas e individualizadas en el RUV</w:t>
      </w:r>
      <w:r w:rsidRPr="00E46810">
        <w:rPr>
          <w:color w:val="auto"/>
          <w:sz w:val="28"/>
          <w:szCs w:val="28"/>
        </w:rPr>
        <w:t>?</w:t>
      </w:r>
      <w:r w:rsidR="006D14C0" w:rsidRPr="00E46810">
        <w:rPr>
          <w:color w:val="auto"/>
          <w:sz w:val="28"/>
          <w:szCs w:val="28"/>
        </w:rPr>
        <w:t>; (ii)</w:t>
      </w:r>
      <w:r w:rsidR="006E2225" w:rsidRPr="00E46810">
        <w:rPr>
          <w:color w:val="auto"/>
          <w:sz w:val="28"/>
          <w:szCs w:val="28"/>
        </w:rPr>
        <w:t xml:space="preserve"> ¿</w:t>
      </w:r>
      <w:r w:rsidRPr="00E46810">
        <w:rPr>
          <w:color w:val="auto"/>
          <w:sz w:val="28"/>
          <w:szCs w:val="28"/>
        </w:rPr>
        <w:t>a qué</w:t>
      </w:r>
      <w:r w:rsidR="006D14C0" w:rsidRPr="00E46810">
        <w:rPr>
          <w:color w:val="auto"/>
          <w:sz w:val="28"/>
          <w:szCs w:val="28"/>
        </w:rPr>
        <w:t xml:space="preserve"> medidas de atención y reparación han accedido desde su inclusión en el RUV, de manera desa</w:t>
      </w:r>
      <w:r w:rsidRPr="00E46810">
        <w:rPr>
          <w:color w:val="auto"/>
          <w:sz w:val="28"/>
          <w:szCs w:val="28"/>
        </w:rPr>
        <w:t>gregada para cada una de ellas?</w:t>
      </w:r>
    </w:p>
    <w:p w14:paraId="60A2B307" w14:textId="77777777" w:rsidR="006E2225" w:rsidRPr="00E46810" w:rsidRDefault="006E2225" w:rsidP="006E2225">
      <w:pPr>
        <w:pStyle w:val="Prrafodelista"/>
        <w:rPr>
          <w:szCs w:val="28"/>
        </w:rPr>
      </w:pPr>
    </w:p>
    <w:p w14:paraId="34BA5C85" w14:textId="0DBE01F7" w:rsidR="00321BE8" w:rsidRDefault="006E2225" w:rsidP="00BF1266">
      <w:pPr>
        <w:pStyle w:val="Default"/>
        <w:numPr>
          <w:ilvl w:val="0"/>
          <w:numId w:val="24"/>
        </w:numPr>
        <w:jc w:val="both"/>
        <w:rPr>
          <w:rFonts w:eastAsiaTheme="minorEastAsia" w:cstheme="minorBidi"/>
          <w:color w:val="auto"/>
          <w:sz w:val="28"/>
          <w:szCs w:val="28"/>
        </w:rPr>
      </w:pPr>
      <w:r w:rsidRPr="00E46810">
        <w:rPr>
          <w:rFonts w:eastAsiaTheme="minorEastAsia" w:cstheme="minorBidi"/>
          <w:color w:val="auto"/>
          <w:sz w:val="28"/>
          <w:szCs w:val="28"/>
        </w:rPr>
        <w:t>En atención a l</w:t>
      </w:r>
      <w:r w:rsidR="00CD337C" w:rsidRPr="00E46810">
        <w:rPr>
          <w:rFonts w:eastAsiaTheme="minorEastAsia" w:cstheme="minorBidi"/>
          <w:color w:val="auto"/>
          <w:sz w:val="28"/>
          <w:szCs w:val="28"/>
        </w:rPr>
        <w:t>o mencionado en el fundamento</w:t>
      </w:r>
      <w:r w:rsidR="003A39DF" w:rsidRPr="00E46810">
        <w:rPr>
          <w:rFonts w:eastAsiaTheme="minorEastAsia" w:cstheme="minorBidi"/>
          <w:color w:val="auto"/>
          <w:sz w:val="28"/>
          <w:szCs w:val="28"/>
        </w:rPr>
        <w:t xml:space="preserve"> jurídico</w:t>
      </w:r>
      <w:r w:rsidR="00CD337C" w:rsidRPr="00E46810">
        <w:rPr>
          <w:rFonts w:eastAsiaTheme="minorEastAsia" w:cstheme="minorBidi"/>
          <w:color w:val="auto"/>
          <w:sz w:val="28"/>
          <w:szCs w:val="28"/>
        </w:rPr>
        <w:t xml:space="preserve"> 18</w:t>
      </w:r>
      <w:r w:rsidRPr="00E46810">
        <w:rPr>
          <w:rFonts w:eastAsiaTheme="minorEastAsia" w:cstheme="minorBidi"/>
          <w:color w:val="auto"/>
          <w:sz w:val="28"/>
          <w:szCs w:val="28"/>
        </w:rPr>
        <w:t xml:space="preserve">, ¿Cuáles son los avances en las actividades planteadas en el plan de trabajo presentado </w:t>
      </w:r>
      <w:r>
        <w:rPr>
          <w:rFonts w:eastAsiaTheme="minorEastAsia" w:cstheme="minorBidi"/>
          <w:color w:val="auto"/>
          <w:sz w:val="28"/>
          <w:szCs w:val="28"/>
        </w:rPr>
        <w:t>en la jornada de trabajo interinstitucional del 17 de abril de 2018?</w:t>
      </w:r>
    </w:p>
    <w:p w14:paraId="2DA74203" w14:textId="77777777" w:rsidR="00BF1266" w:rsidRDefault="00BF1266" w:rsidP="00BF1266">
      <w:pPr>
        <w:pStyle w:val="Prrafodelista"/>
        <w:rPr>
          <w:szCs w:val="28"/>
        </w:rPr>
      </w:pPr>
    </w:p>
    <w:p w14:paraId="049C4356" w14:textId="77777777" w:rsidR="00BF1266" w:rsidRPr="00561703" w:rsidRDefault="00BF1266" w:rsidP="00BF1266">
      <w:pPr>
        <w:pStyle w:val="Prrafodelista"/>
        <w:numPr>
          <w:ilvl w:val="0"/>
          <w:numId w:val="24"/>
        </w:numPr>
        <w:autoSpaceDE w:val="0"/>
        <w:autoSpaceDN w:val="0"/>
        <w:adjustRightInd w:val="0"/>
      </w:pPr>
      <w:r w:rsidRPr="00561703">
        <w:t>En atención a lo mencionado en el fundamento jurídico 19, ¿Cuál es la fuente de las cifras expuestas por la entidad en relación con el universo de mujeres de los anexos reservados de los Autos 092 de 2008 y 009 de 2015?</w:t>
      </w:r>
    </w:p>
    <w:p w14:paraId="4D5E170E" w14:textId="77777777" w:rsidR="00BF1266" w:rsidRPr="00BF1266" w:rsidRDefault="00BF1266" w:rsidP="00BF1266">
      <w:pPr>
        <w:pStyle w:val="Default"/>
        <w:ind w:left="720"/>
        <w:jc w:val="both"/>
        <w:rPr>
          <w:rFonts w:eastAsiaTheme="minorEastAsia" w:cstheme="minorBidi"/>
          <w:color w:val="auto"/>
          <w:sz w:val="28"/>
          <w:szCs w:val="28"/>
        </w:rPr>
      </w:pPr>
    </w:p>
    <w:p w14:paraId="03EDB52F" w14:textId="5BAF0217" w:rsidR="00722970" w:rsidRPr="00385456" w:rsidRDefault="006E627D" w:rsidP="00722970">
      <w:pPr>
        <w:pStyle w:val="Prrafodelista"/>
        <w:numPr>
          <w:ilvl w:val="0"/>
          <w:numId w:val="5"/>
        </w:numPr>
        <w:ind w:left="0" w:firstLine="0"/>
        <w:rPr>
          <w:szCs w:val="28"/>
          <w:shd w:val="clear" w:color="auto" w:fill="FFFFFF"/>
        </w:rPr>
      </w:pPr>
      <w:r w:rsidRPr="00385456">
        <w:rPr>
          <w:rFonts w:cs="Times New Roman"/>
          <w:szCs w:val="28"/>
        </w:rPr>
        <w:t xml:space="preserve">A través de la Secretaría General de la Corte Constitucional, </w:t>
      </w:r>
      <w:r w:rsidRPr="00385456">
        <w:rPr>
          <w:rFonts w:cs="Times New Roman"/>
          <w:b/>
          <w:szCs w:val="28"/>
        </w:rPr>
        <w:t xml:space="preserve">TRASLADAR </w:t>
      </w:r>
      <w:r w:rsidRPr="00385456">
        <w:rPr>
          <w:rFonts w:cs="Times New Roman"/>
          <w:szCs w:val="28"/>
        </w:rPr>
        <w:t xml:space="preserve">al </w:t>
      </w:r>
      <w:r w:rsidRPr="00385456">
        <w:rPr>
          <w:szCs w:val="28"/>
          <w:shd w:val="clear" w:color="auto" w:fill="FFFFFF"/>
        </w:rPr>
        <w:t xml:space="preserve">Procurador General de la Nación, al Fiscal General de la Nación y al Director de la </w:t>
      </w:r>
      <w:r w:rsidRPr="00385456">
        <w:rPr>
          <w:rFonts w:eastAsiaTheme="minorHAnsi" w:cs="Times New Roman"/>
          <w:szCs w:val="28"/>
        </w:rPr>
        <w:t xml:space="preserve">Unidad para la Atención y Reparación Integral a las Víctimas, las respuestas remitidas a esta Sala Especial </w:t>
      </w:r>
      <w:r w:rsidR="00722970" w:rsidRPr="00385456">
        <w:rPr>
          <w:rFonts w:eastAsiaTheme="minorHAnsi" w:cs="Times New Roman"/>
          <w:szCs w:val="28"/>
        </w:rPr>
        <w:t xml:space="preserve">por dichas entidades </w:t>
      </w:r>
      <w:r w:rsidRPr="00385456">
        <w:rPr>
          <w:rFonts w:eastAsiaTheme="minorHAnsi" w:cs="Times New Roman"/>
          <w:szCs w:val="28"/>
        </w:rPr>
        <w:t>en cumplimiento del Auto 737 de 2017</w:t>
      </w:r>
      <w:r w:rsidR="00722970" w:rsidRPr="00385456">
        <w:rPr>
          <w:rFonts w:eastAsiaTheme="minorHAnsi" w:cs="Times New Roman"/>
          <w:szCs w:val="28"/>
        </w:rPr>
        <w:t>.</w:t>
      </w:r>
    </w:p>
    <w:p w14:paraId="514C8159" w14:textId="77777777" w:rsidR="00722970" w:rsidRPr="00385456" w:rsidRDefault="00722970" w:rsidP="00722970">
      <w:pPr>
        <w:pStyle w:val="Prrafodelista"/>
        <w:tabs>
          <w:tab w:val="left" w:pos="567"/>
        </w:tabs>
        <w:ind w:left="0"/>
        <w:rPr>
          <w:rFonts w:eastAsiaTheme="minorHAnsi" w:cs="Times New Roman"/>
          <w:szCs w:val="28"/>
        </w:rPr>
      </w:pPr>
    </w:p>
    <w:p w14:paraId="128142D6" w14:textId="027C5353" w:rsidR="00722970" w:rsidRPr="00385456" w:rsidRDefault="00722970" w:rsidP="00722970">
      <w:pPr>
        <w:rPr>
          <w:szCs w:val="28"/>
          <w:shd w:val="clear" w:color="auto" w:fill="FFFFFF"/>
        </w:rPr>
      </w:pPr>
      <w:r w:rsidRPr="00385456">
        <w:rPr>
          <w:rFonts w:eastAsiaTheme="minorHAnsi" w:cs="Times New Roman"/>
          <w:szCs w:val="28"/>
        </w:rPr>
        <w:t xml:space="preserve">En tanto se trata de información que da cuenta de la situación de las mujeres reconocidas por los anexos reservados de los </w:t>
      </w:r>
      <w:r w:rsidRPr="00385456">
        <w:rPr>
          <w:rFonts w:eastAsiaTheme="minorHAnsi" w:cs="Times New Roman"/>
          <w:b/>
          <w:szCs w:val="28"/>
        </w:rPr>
        <w:t>Autos 092 de 2008 y 009 de 2015</w:t>
      </w:r>
      <w:r w:rsidRPr="00385456">
        <w:rPr>
          <w:rFonts w:eastAsiaTheme="minorHAnsi" w:cs="Times New Roman"/>
          <w:szCs w:val="28"/>
        </w:rPr>
        <w:t xml:space="preserve">, se advierte a las entidades en mención que sólo podrá ser utilizada para el ejercicio de sus funciones y </w:t>
      </w:r>
      <w:r w:rsidR="003A1DFA" w:rsidRPr="00385456">
        <w:rPr>
          <w:rFonts w:eastAsiaTheme="minorHAnsi" w:cs="Times New Roman"/>
          <w:szCs w:val="28"/>
        </w:rPr>
        <w:t xml:space="preserve">que </w:t>
      </w:r>
      <w:r w:rsidRPr="00385456">
        <w:rPr>
          <w:rFonts w:eastAsiaTheme="minorHAnsi" w:cs="Times New Roman"/>
          <w:szCs w:val="28"/>
        </w:rPr>
        <w:t>es su deber proporcionar a los documentos</w:t>
      </w:r>
      <w:r w:rsidR="003A1DFA" w:rsidRPr="00385456">
        <w:rPr>
          <w:rFonts w:eastAsiaTheme="minorHAnsi" w:cs="Times New Roman"/>
          <w:szCs w:val="28"/>
        </w:rPr>
        <w:t xml:space="preserve"> remitidos </w:t>
      </w:r>
      <w:r w:rsidRPr="00385456">
        <w:rPr>
          <w:rFonts w:eastAsiaTheme="minorHAnsi" w:cs="Times New Roman"/>
          <w:szCs w:val="28"/>
        </w:rPr>
        <w:t>la protección y reserva adecuados.</w:t>
      </w:r>
    </w:p>
    <w:p w14:paraId="24F6E850" w14:textId="77777777" w:rsidR="006E627D" w:rsidRPr="006E627D" w:rsidRDefault="006E627D" w:rsidP="006E627D">
      <w:pPr>
        <w:pStyle w:val="Prrafodelista"/>
        <w:ind w:left="0"/>
        <w:rPr>
          <w:szCs w:val="28"/>
          <w:shd w:val="clear" w:color="auto" w:fill="FFFFFF"/>
        </w:rPr>
      </w:pPr>
    </w:p>
    <w:p w14:paraId="624D80CB" w14:textId="480BAEE8" w:rsidR="009D31B5" w:rsidRPr="00321BE8" w:rsidRDefault="009D31B5" w:rsidP="00321BE8">
      <w:pPr>
        <w:pStyle w:val="Prrafodelista"/>
        <w:numPr>
          <w:ilvl w:val="0"/>
          <w:numId w:val="5"/>
        </w:numPr>
        <w:ind w:left="0" w:firstLine="0"/>
        <w:rPr>
          <w:szCs w:val="28"/>
          <w:shd w:val="clear" w:color="auto" w:fill="FFFFFF"/>
        </w:rPr>
      </w:pPr>
      <w:r w:rsidRPr="00321BE8">
        <w:rPr>
          <w:b/>
          <w:szCs w:val="28"/>
        </w:rPr>
        <w:lastRenderedPageBreak/>
        <w:t>INFORMAR</w:t>
      </w:r>
      <w:r w:rsidRPr="00321BE8">
        <w:rPr>
          <w:szCs w:val="28"/>
        </w:rPr>
        <w:t>, a través de la Secretaría de esta Corporación, a las</w:t>
      </w:r>
      <w:r w:rsidR="00582FDF" w:rsidRPr="00321BE8">
        <w:rPr>
          <w:szCs w:val="28"/>
        </w:rPr>
        <w:t xml:space="preserve"> </w:t>
      </w:r>
      <w:r w:rsidRPr="00321BE8">
        <w:rPr>
          <w:szCs w:val="28"/>
        </w:rPr>
        <w:t xml:space="preserve">personas oficiadas que, en aras de agilizar la remisión de lo solicitado, adicional al envío por correspondencia física, podrá hacerse llegar la documentación correspondiente al correo electrónico desplazamientoforzado@corteconstitucional.gov.co </w:t>
      </w:r>
    </w:p>
    <w:p w14:paraId="562E5509" w14:textId="77777777" w:rsidR="003A39DF" w:rsidRDefault="003A39DF" w:rsidP="00401F0D">
      <w:pPr>
        <w:shd w:val="clear" w:color="auto" w:fill="FFFFFF"/>
        <w:textAlignment w:val="baseline"/>
        <w:rPr>
          <w:rFonts w:eastAsia="Times New Roman" w:cs="Times New Roman"/>
          <w:szCs w:val="28"/>
          <w:bdr w:val="none" w:sz="0" w:space="0" w:color="auto" w:frame="1"/>
          <w:lang w:val="es-ES_tradnl" w:eastAsia="es-CO"/>
        </w:rPr>
      </w:pPr>
    </w:p>
    <w:p w14:paraId="7E10739F" w14:textId="77777777" w:rsidR="00401F0D" w:rsidRPr="00BD3E7F" w:rsidRDefault="00401F0D" w:rsidP="00401F0D">
      <w:pPr>
        <w:shd w:val="clear" w:color="auto" w:fill="FFFFFF"/>
        <w:textAlignment w:val="baseline"/>
        <w:rPr>
          <w:rFonts w:eastAsia="Times New Roman" w:cs="Times New Roman"/>
          <w:szCs w:val="28"/>
          <w:lang w:eastAsia="es-CO"/>
        </w:rPr>
      </w:pPr>
      <w:r w:rsidRPr="00BD3E7F">
        <w:rPr>
          <w:rFonts w:eastAsia="Times New Roman" w:cs="Times New Roman"/>
          <w:szCs w:val="28"/>
          <w:bdr w:val="none" w:sz="0" w:space="0" w:color="auto" w:frame="1"/>
          <w:lang w:val="es-ES_tradnl" w:eastAsia="es-CO"/>
        </w:rPr>
        <w:t>Notifíquese y cúmplase.</w:t>
      </w:r>
    </w:p>
    <w:p w14:paraId="58308562" w14:textId="77777777" w:rsidR="00401F0D" w:rsidRPr="00BD3E7F" w:rsidRDefault="00401F0D" w:rsidP="00401F0D">
      <w:pPr>
        <w:shd w:val="clear" w:color="auto" w:fill="FFFFFF"/>
        <w:jc w:val="center"/>
        <w:textAlignment w:val="baseline"/>
        <w:rPr>
          <w:rFonts w:eastAsia="Times New Roman" w:cs="Times New Roman"/>
          <w:szCs w:val="28"/>
          <w:lang w:eastAsia="es-CO"/>
        </w:rPr>
      </w:pPr>
      <w:r w:rsidRPr="00BD3E7F">
        <w:rPr>
          <w:rFonts w:eastAsia="Times New Roman" w:cs="Times New Roman"/>
          <w:szCs w:val="28"/>
          <w:bdr w:val="none" w:sz="0" w:space="0" w:color="auto" w:frame="1"/>
          <w:lang w:val="es-ES_tradnl" w:eastAsia="es-CO"/>
        </w:rPr>
        <w:t> </w:t>
      </w:r>
    </w:p>
    <w:p w14:paraId="357851FE" w14:textId="77777777" w:rsidR="00BF1266" w:rsidRDefault="00BF1266" w:rsidP="00401F0D">
      <w:pPr>
        <w:shd w:val="clear" w:color="auto" w:fill="FFFFFF"/>
        <w:jc w:val="center"/>
        <w:textAlignment w:val="baseline"/>
        <w:rPr>
          <w:rFonts w:eastAsia="Times New Roman" w:cs="Times New Roman"/>
          <w:szCs w:val="28"/>
          <w:bdr w:val="none" w:sz="0" w:space="0" w:color="auto" w:frame="1"/>
          <w:lang w:val="es-ES_tradnl" w:eastAsia="es-CO"/>
        </w:rPr>
      </w:pPr>
    </w:p>
    <w:p w14:paraId="5879ECB9" w14:textId="77777777" w:rsidR="00401F0D" w:rsidRPr="00BD3E7F" w:rsidRDefault="00401F0D" w:rsidP="00401F0D">
      <w:pPr>
        <w:shd w:val="clear" w:color="auto" w:fill="FFFFFF"/>
        <w:jc w:val="center"/>
        <w:textAlignment w:val="baseline"/>
        <w:rPr>
          <w:rFonts w:eastAsia="Times New Roman" w:cs="Times New Roman"/>
          <w:szCs w:val="28"/>
          <w:lang w:eastAsia="es-CO"/>
        </w:rPr>
      </w:pPr>
      <w:r w:rsidRPr="00BD3E7F">
        <w:rPr>
          <w:rFonts w:eastAsia="Times New Roman" w:cs="Times New Roman"/>
          <w:szCs w:val="28"/>
          <w:bdr w:val="none" w:sz="0" w:space="0" w:color="auto" w:frame="1"/>
          <w:lang w:val="es-ES_tradnl" w:eastAsia="es-CO"/>
        </w:rPr>
        <w:t> </w:t>
      </w:r>
    </w:p>
    <w:p w14:paraId="587B532A" w14:textId="77777777" w:rsidR="00401F0D" w:rsidRPr="00BD3E7F" w:rsidRDefault="00401F0D" w:rsidP="00401F0D">
      <w:pPr>
        <w:shd w:val="clear" w:color="auto" w:fill="FFFFFF"/>
        <w:jc w:val="center"/>
        <w:textAlignment w:val="baseline"/>
        <w:rPr>
          <w:rFonts w:eastAsia="Times New Roman" w:cs="Times New Roman"/>
          <w:szCs w:val="28"/>
          <w:lang w:eastAsia="es-CO"/>
        </w:rPr>
      </w:pPr>
      <w:r w:rsidRPr="00BD3E7F">
        <w:rPr>
          <w:rFonts w:eastAsia="Times New Roman" w:cs="Times New Roman"/>
          <w:szCs w:val="28"/>
          <w:bdr w:val="none" w:sz="0" w:space="0" w:color="auto" w:frame="1"/>
          <w:lang w:val="es-ES_tradnl" w:eastAsia="es-CO"/>
        </w:rPr>
        <w:t> </w:t>
      </w:r>
    </w:p>
    <w:p w14:paraId="0E3269EC" w14:textId="77777777" w:rsidR="00401F0D" w:rsidRPr="00BD3E7F" w:rsidRDefault="00401F0D" w:rsidP="00401F0D">
      <w:pPr>
        <w:shd w:val="clear" w:color="auto" w:fill="FFFFFF"/>
        <w:ind w:right="57"/>
        <w:jc w:val="center"/>
        <w:textAlignment w:val="baseline"/>
        <w:rPr>
          <w:rFonts w:eastAsia="Times New Roman" w:cs="Times New Roman"/>
          <w:szCs w:val="28"/>
          <w:lang w:eastAsia="es-CO"/>
        </w:rPr>
      </w:pPr>
      <w:r w:rsidRPr="00BD3E7F">
        <w:rPr>
          <w:rFonts w:eastAsia="Times New Roman" w:cs="Times New Roman"/>
          <w:szCs w:val="28"/>
          <w:bdr w:val="none" w:sz="0" w:space="0" w:color="auto" w:frame="1"/>
          <w:lang w:val="es-ES_tradnl" w:eastAsia="es-CO"/>
        </w:rPr>
        <w:t>GLORIA STELLA ORTIZ DELGADO</w:t>
      </w:r>
    </w:p>
    <w:p w14:paraId="3F163948" w14:textId="77777777" w:rsidR="00401F0D" w:rsidRPr="00BD3E7F" w:rsidRDefault="00401F0D" w:rsidP="00401F0D">
      <w:pPr>
        <w:shd w:val="clear" w:color="auto" w:fill="FFFFFF"/>
        <w:ind w:right="57"/>
        <w:jc w:val="center"/>
        <w:textAlignment w:val="baseline"/>
        <w:rPr>
          <w:rFonts w:eastAsia="Times New Roman" w:cs="Times New Roman"/>
          <w:szCs w:val="28"/>
          <w:lang w:eastAsia="es-CO"/>
        </w:rPr>
      </w:pPr>
      <w:r w:rsidRPr="00BD3E7F">
        <w:rPr>
          <w:rFonts w:eastAsia="Times New Roman" w:cs="Times New Roman"/>
          <w:szCs w:val="28"/>
          <w:bdr w:val="none" w:sz="0" w:space="0" w:color="auto" w:frame="1"/>
          <w:lang w:val="es-ES_tradnl" w:eastAsia="es-CO"/>
        </w:rPr>
        <w:t>Magistrada Presidenta</w:t>
      </w:r>
    </w:p>
    <w:p w14:paraId="52A061FC" w14:textId="77777777" w:rsidR="00401F0D" w:rsidRPr="00BD3E7F" w:rsidRDefault="00401F0D" w:rsidP="00401F0D">
      <w:pPr>
        <w:shd w:val="clear" w:color="auto" w:fill="FFFFFF"/>
        <w:jc w:val="center"/>
        <w:textAlignment w:val="baseline"/>
        <w:rPr>
          <w:rFonts w:eastAsia="Times New Roman" w:cs="Times New Roman"/>
          <w:szCs w:val="28"/>
          <w:lang w:eastAsia="es-CO"/>
        </w:rPr>
      </w:pPr>
      <w:r w:rsidRPr="00BD3E7F">
        <w:rPr>
          <w:rFonts w:eastAsia="Times New Roman" w:cs="Times New Roman"/>
          <w:szCs w:val="28"/>
          <w:bdr w:val="none" w:sz="0" w:space="0" w:color="auto" w:frame="1"/>
          <w:lang w:val="es-ES_tradnl" w:eastAsia="es-CO"/>
        </w:rPr>
        <w:t>Sala Especial de Seguimiento Sentencia T-025 de 2004</w:t>
      </w:r>
    </w:p>
    <w:p w14:paraId="41C11541" w14:textId="77777777" w:rsidR="00401F0D" w:rsidRPr="00BD3E7F" w:rsidRDefault="00401F0D" w:rsidP="00BB64EF">
      <w:pPr>
        <w:pStyle w:val="Prrafodelista"/>
        <w:tabs>
          <w:tab w:val="left" w:pos="567"/>
        </w:tabs>
        <w:ind w:left="0"/>
        <w:rPr>
          <w:b/>
          <w:i/>
        </w:rPr>
      </w:pPr>
    </w:p>
    <w:p w14:paraId="6DDBF0C9" w14:textId="103F811E" w:rsidR="00401F0D" w:rsidRPr="00BD3E7F" w:rsidRDefault="00401F0D" w:rsidP="00CD337C">
      <w:pPr>
        <w:shd w:val="clear" w:color="auto" w:fill="FFFFFF"/>
        <w:textAlignment w:val="baseline"/>
        <w:rPr>
          <w:b/>
          <w:i/>
        </w:rPr>
      </w:pPr>
    </w:p>
    <w:p w14:paraId="3569E393" w14:textId="77777777" w:rsidR="00401F0D" w:rsidRDefault="00401F0D" w:rsidP="00BB64EF">
      <w:pPr>
        <w:pStyle w:val="Prrafodelista"/>
        <w:tabs>
          <w:tab w:val="left" w:pos="567"/>
        </w:tabs>
        <w:ind w:left="0"/>
        <w:rPr>
          <w:b/>
          <w:i/>
        </w:rPr>
      </w:pPr>
    </w:p>
    <w:p w14:paraId="63EE4C19" w14:textId="77777777" w:rsidR="00BF1266" w:rsidRPr="00BD3E7F" w:rsidRDefault="00BF1266" w:rsidP="00BB64EF">
      <w:pPr>
        <w:pStyle w:val="Prrafodelista"/>
        <w:tabs>
          <w:tab w:val="left" w:pos="567"/>
        </w:tabs>
        <w:ind w:left="0"/>
        <w:rPr>
          <w:b/>
          <w:i/>
        </w:rPr>
      </w:pPr>
    </w:p>
    <w:p w14:paraId="483D15C1" w14:textId="77777777" w:rsidR="00401F0D" w:rsidRPr="00BD3E7F" w:rsidRDefault="00401F0D" w:rsidP="00401F0D">
      <w:pPr>
        <w:shd w:val="clear" w:color="auto" w:fill="FFFFFF"/>
        <w:ind w:right="60"/>
        <w:jc w:val="center"/>
        <w:textAlignment w:val="baseline"/>
        <w:rPr>
          <w:rFonts w:eastAsia="Times New Roman" w:cs="Times New Roman"/>
          <w:szCs w:val="28"/>
          <w:lang w:eastAsia="es-CO"/>
        </w:rPr>
      </w:pPr>
      <w:r w:rsidRPr="00BD3E7F">
        <w:rPr>
          <w:rFonts w:eastAsia="Times New Roman" w:cs="Times New Roman"/>
          <w:szCs w:val="28"/>
          <w:bdr w:val="none" w:sz="0" w:space="0" w:color="auto" w:frame="1"/>
          <w:lang w:val="es-ES_tradnl" w:eastAsia="es-CO"/>
        </w:rPr>
        <w:t>MARTHA VICTORIA SÁCHICA MÉNDEZ</w:t>
      </w:r>
    </w:p>
    <w:p w14:paraId="74F6AB9F" w14:textId="12EEF0B7" w:rsidR="00C562EC" w:rsidRPr="00A9152B" w:rsidRDefault="00401F0D" w:rsidP="00A9152B">
      <w:pPr>
        <w:shd w:val="clear" w:color="auto" w:fill="FFFFFF"/>
        <w:jc w:val="center"/>
        <w:textAlignment w:val="baseline"/>
        <w:rPr>
          <w:rFonts w:eastAsia="Times New Roman" w:cs="Times New Roman"/>
          <w:szCs w:val="28"/>
          <w:lang w:eastAsia="es-CO"/>
        </w:rPr>
      </w:pPr>
      <w:r w:rsidRPr="00BD3E7F">
        <w:rPr>
          <w:rFonts w:eastAsia="Times New Roman" w:cs="Times New Roman"/>
          <w:szCs w:val="28"/>
          <w:bdr w:val="none" w:sz="0" w:space="0" w:color="auto" w:frame="1"/>
          <w:lang w:val="es-ES_tradnl" w:eastAsia="es-CO"/>
        </w:rPr>
        <w:t>Secretaria General</w:t>
      </w:r>
    </w:p>
    <w:sectPr w:rsidR="00C562EC" w:rsidRPr="00A9152B" w:rsidSect="00202376">
      <w:headerReference w:type="default" r:id="rId10"/>
      <w:footerReference w:type="default" r:id="rId11"/>
      <w:pgSz w:w="12242" w:h="18722" w:code="14"/>
      <w:pgMar w:top="1417" w:right="1701" w:bottom="1417"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F959B" w14:textId="77777777" w:rsidR="009E4E72" w:rsidRDefault="009E4E72" w:rsidP="008A36E7">
      <w:r>
        <w:separator/>
      </w:r>
    </w:p>
  </w:endnote>
  <w:endnote w:type="continuationSeparator" w:id="0">
    <w:p w14:paraId="7545F98A" w14:textId="77777777" w:rsidR="009E4E72" w:rsidRDefault="009E4E72" w:rsidP="008A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38180" w14:textId="5AF00072" w:rsidR="003A7DB8" w:rsidRDefault="003A7DB8">
    <w:pPr>
      <w:pStyle w:val="Piedepgina"/>
      <w:jc w:val="center"/>
    </w:pPr>
  </w:p>
  <w:p w14:paraId="6C013436" w14:textId="77777777" w:rsidR="003A7DB8" w:rsidRDefault="003A7D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2ED8F" w14:textId="77777777" w:rsidR="009E4E72" w:rsidRDefault="009E4E72" w:rsidP="008A36E7">
      <w:r>
        <w:separator/>
      </w:r>
    </w:p>
  </w:footnote>
  <w:footnote w:type="continuationSeparator" w:id="0">
    <w:p w14:paraId="25C11D65" w14:textId="77777777" w:rsidR="009E4E72" w:rsidRDefault="009E4E72" w:rsidP="008A36E7">
      <w:r>
        <w:continuationSeparator/>
      </w:r>
    </w:p>
  </w:footnote>
  <w:footnote w:id="1">
    <w:p w14:paraId="5ECD9897" w14:textId="77777777" w:rsidR="003A7DB8" w:rsidRPr="00223843" w:rsidRDefault="003A7DB8">
      <w:pPr>
        <w:pStyle w:val="Textonotapie"/>
        <w:rPr>
          <w:lang w:val="es-ES"/>
        </w:rPr>
      </w:pPr>
      <w:r w:rsidRPr="00223843">
        <w:rPr>
          <w:rStyle w:val="Refdenotaalpie"/>
        </w:rPr>
        <w:footnoteRef/>
      </w:r>
      <w:r w:rsidRPr="00223843">
        <w:t xml:space="preserve"> </w:t>
      </w:r>
      <w:r w:rsidRPr="00223843">
        <w:rPr>
          <w:lang w:val="es-ES"/>
        </w:rPr>
        <w:t>Auto 737 de 2017. M.P. Gloria Stella Ortiz Delgado.</w:t>
      </w:r>
    </w:p>
  </w:footnote>
  <w:footnote w:id="2">
    <w:p w14:paraId="7794CB3B" w14:textId="6928C18A" w:rsidR="003A7DB8" w:rsidRDefault="003A7DB8">
      <w:pPr>
        <w:pStyle w:val="Textonotapie"/>
      </w:pPr>
      <w:r>
        <w:rPr>
          <w:rStyle w:val="Refdenotaalpie"/>
        </w:rPr>
        <w:footnoteRef/>
      </w:r>
      <w:r>
        <w:t xml:space="preserve"> </w:t>
      </w:r>
      <w:r w:rsidRPr="00223843">
        <w:rPr>
          <w:lang w:val="es-ES"/>
        </w:rPr>
        <w:t>Auto 737 de 2017. M.P. Gloria Stella Ortiz Delgado.</w:t>
      </w:r>
    </w:p>
  </w:footnote>
  <w:footnote w:id="3">
    <w:p w14:paraId="41D62493" w14:textId="594F8C25" w:rsidR="003A7DB8" w:rsidRDefault="003A7DB8" w:rsidP="00024052">
      <w:pPr>
        <w:pStyle w:val="Textonotapie"/>
        <w:tabs>
          <w:tab w:val="left" w:pos="7797"/>
        </w:tabs>
      </w:pPr>
      <w:r>
        <w:rPr>
          <w:rStyle w:val="Refdenotaalpie"/>
        </w:rPr>
        <w:footnoteRef/>
      </w:r>
      <w:r>
        <w:t xml:space="preserve"> </w:t>
      </w:r>
      <w:r w:rsidRPr="00223843">
        <w:rPr>
          <w:lang w:val="es-ES"/>
        </w:rPr>
        <w:t>Auto 737 de 2017. M.P. Gloria Stella Ortiz Delgado</w:t>
      </w:r>
      <w:r w:rsidRPr="00BB64EF">
        <w:rPr>
          <w:rFonts w:eastAsiaTheme="minorHAnsi" w:cs="Times New Roman"/>
          <w:b/>
          <w:bCs/>
          <w:color w:val="000000"/>
        </w:rPr>
        <w:t xml:space="preserve"> </w:t>
      </w:r>
      <w:r w:rsidRPr="00FD7783">
        <w:rPr>
          <w:rFonts w:eastAsiaTheme="minorHAnsi" w:cs="Times New Roman"/>
          <w:bCs/>
          <w:color w:val="000000"/>
        </w:rPr>
        <w:t>“</w:t>
      </w:r>
      <w:r w:rsidRPr="00FD7783">
        <w:rPr>
          <w:rFonts w:eastAsiaTheme="minorHAnsi" w:cs="Times New Roman"/>
          <w:b/>
          <w:bCs/>
          <w:i/>
          <w:color w:val="000000"/>
        </w:rPr>
        <w:t>Octavo. ORDENAR</w:t>
      </w:r>
      <w:r w:rsidRPr="00FD7783">
        <w:rPr>
          <w:rFonts w:eastAsiaTheme="minorHAnsi" w:cs="Times New Roman"/>
          <w:i/>
          <w:color w:val="000000"/>
        </w:rPr>
        <w:t>, a través de la Secretaría General de la Corte Constitucional, a la Fiscalía General de la Nación que, en el término de dos (2) meses contados a partir de la comunicación de este Auto, presente a esta Sala Especial de Seguimiento un informe detallado que indique: (i) cuál es el estado procesal actual de los casos de los anexos reservados de los Autos 092 de 2008 y 009 de 2015; (ii) qué estrategias ha desarrollado la entidad para avanzar en el trámite de los procesos de los anexos reservados de los Autos 092 de 2008 y 009 de 2015; (iii) qué acciones ha desplegado la entidad para conocer y responder a los problemas de gestión administrativa para el trámite de estos casos; y (iv) cuáles son los avances y las dificultades de los programas de protección a las sobrevivientes de violencia sexual en el marco del conflicto armado y el desplazamiento forzado, a cargo de la Fiscalía General de la Nación</w:t>
      </w:r>
      <w:r>
        <w:rPr>
          <w:rFonts w:eastAsiaTheme="minorHAnsi" w:cs="Times New Roman"/>
          <w:color w:val="000000"/>
        </w:rPr>
        <w:t>”.</w:t>
      </w:r>
    </w:p>
  </w:footnote>
  <w:footnote w:id="4">
    <w:p w14:paraId="4F1F5523" w14:textId="45CF284D" w:rsidR="003A7DB8" w:rsidRPr="00044EBD" w:rsidRDefault="003A7DB8" w:rsidP="00044EBD">
      <w:pPr>
        <w:tabs>
          <w:tab w:val="left" w:pos="7797"/>
        </w:tabs>
        <w:autoSpaceDE w:val="0"/>
        <w:autoSpaceDN w:val="0"/>
        <w:adjustRightInd w:val="0"/>
        <w:rPr>
          <w:rFonts w:eastAsiaTheme="minorHAnsi" w:cs="Times New Roman"/>
          <w:color w:val="000000"/>
          <w:sz w:val="20"/>
          <w:szCs w:val="20"/>
        </w:rPr>
      </w:pPr>
      <w:r w:rsidRPr="00024052">
        <w:rPr>
          <w:rStyle w:val="Refdenotaalpie"/>
          <w:sz w:val="20"/>
          <w:szCs w:val="20"/>
        </w:rPr>
        <w:footnoteRef/>
      </w:r>
      <w:r w:rsidRPr="00024052">
        <w:rPr>
          <w:sz w:val="20"/>
          <w:szCs w:val="20"/>
        </w:rPr>
        <w:t xml:space="preserve"> </w:t>
      </w:r>
      <w:r w:rsidRPr="00024052">
        <w:rPr>
          <w:rFonts w:eastAsiaTheme="minorHAnsi" w:cs="Times New Roman"/>
          <w:color w:val="000000"/>
          <w:sz w:val="20"/>
          <w:szCs w:val="20"/>
        </w:rPr>
        <w:t>Auto 737 de 2017. M.P. Gloria Stella Ortiz Delgado “</w:t>
      </w:r>
      <w:r w:rsidRPr="00FD7783">
        <w:rPr>
          <w:rFonts w:eastAsiaTheme="minorHAnsi" w:cs="Times New Roman"/>
          <w:b/>
          <w:i/>
          <w:color w:val="000000"/>
          <w:sz w:val="20"/>
          <w:szCs w:val="20"/>
        </w:rPr>
        <w:t>Noveno. ORDENAR</w:t>
      </w:r>
      <w:r w:rsidRPr="00FD7783">
        <w:rPr>
          <w:rFonts w:eastAsiaTheme="minorHAnsi" w:cs="Times New Roman"/>
          <w:i/>
          <w:color w:val="000000"/>
          <w:sz w:val="20"/>
          <w:szCs w:val="20"/>
        </w:rPr>
        <w:t>, a través de la Secretaría General de la Corte Constitucional, a la Fiscalía General de la Nación que, en coordinación con la Unidad Nacional de Protección adscrita al Ministerio del Interior, en el término de dos (2) meses contados a partir de la comunicación de este Auto, presenten, de manera conjunta a esta Sala Especial de Seguimiento, un informe detallado que indique: (i) cuáles son las estrategias concretas que han desarrollado para dar aplicación a la presunción de riesgo extraordinario de las mujeres víctimas de violencia sexual en el marco del conflicto armado y el desplazamiento forzado, y de sus familias; (ii) cuáles son las medidas que se han adoptado para garantizar de forma adecuada y efectiva la vida, la seguridad y la integridad personal de las mujeres víctimas, así como la aplicación de medidas de protección respecto de las comunidades y las organizaciones de las que hacen parte las mujeres víctimas; (iii) qué acciones se han planeado y/o ejecutado para proteger la vida, seguridad e integridad personal de las mujeres implicadas en los casos de los anexos reservados de los Autos 092 de 2008, 098 de 2013 y 009 de 2015</w:t>
      </w:r>
      <w:r w:rsidRPr="00024052">
        <w:rPr>
          <w:rFonts w:eastAsiaTheme="minorHAnsi" w:cs="Times New Roman"/>
          <w:color w:val="000000"/>
          <w:sz w:val="20"/>
          <w:szCs w:val="20"/>
        </w:rPr>
        <w:t>”</w:t>
      </w:r>
      <w:r w:rsidRPr="00261A92">
        <w:rPr>
          <w:rFonts w:eastAsiaTheme="minorHAnsi" w:cs="Times New Roman"/>
          <w:color w:val="000000"/>
          <w:sz w:val="20"/>
          <w:szCs w:val="20"/>
        </w:rPr>
        <w:t xml:space="preserve">. </w:t>
      </w:r>
    </w:p>
  </w:footnote>
  <w:footnote w:id="5">
    <w:p w14:paraId="1C960907" w14:textId="77777777" w:rsidR="003A7DB8" w:rsidRPr="00044EBD" w:rsidRDefault="003A7DB8" w:rsidP="00262BC4">
      <w:pPr>
        <w:pStyle w:val="Default"/>
        <w:jc w:val="both"/>
        <w:rPr>
          <w:i/>
          <w:sz w:val="20"/>
          <w:szCs w:val="20"/>
        </w:rPr>
      </w:pPr>
      <w:r w:rsidRPr="00044EBD">
        <w:rPr>
          <w:rStyle w:val="Refdenotaalpie"/>
          <w:sz w:val="20"/>
          <w:szCs w:val="20"/>
        </w:rPr>
        <w:footnoteRef/>
      </w:r>
      <w:r w:rsidRPr="00044EBD">
        <w:rPr>
          <w:sz w:val="20"/>
          <w:szCs w:val="20"/>
        </w:rPr>
        <w:t xml:space="preserve"> </w:t>
      </w:r>
      <w:r w:rsidRPr="00024052">
        <w:rPr>
          <w:sz w:val="20"/>
          <w:szCs w:val="20"/>
        </w:rPr>
        <w:t>Auto 737 de 2017. M.P. Gloria Stella Ortiz Delgado</w:t>
      </w:r>
      <w:r>
        <w:rPr>
          <w:sz w:val="20"/>
          <w:szCs w:val="20"/>
        </w:rPr>
        <w:t>. “</w:t>
      </w:r>
      <w:r w:rsidRPr="00044EBD">
        <w:rPr>
          <w:b/>
          <w:bCs/>
          <w:i/>
          <w:sz w:val="20"/>
          <w:szCs w:val="20"/>
        </w:rPr>
        <w:t>Decimocuarto. ORDENAR</w:t>
      </w:r>
      <w:r w:rsidRPr="00044EBD">
        <w:rPr>
          <w:i/>
          <w:sz w:val="20"/>
          <w:szCs w:val="20"/>
        </w:rPr>
        <w:t xml:space="preserve">, a través de la Secretaría General de la Corte Constitucional, a la Procuraduría General de la Nación que, en ejercicio de sus facultades constitucionales y legales, en el término de dos (2) meses contados a partir de la comunicación de este Auto, presente a esta Sala de Seguimiento un informe detallado que indique: (i) cuál es la estrategia jurídica que ha desplegado en los casos implicados en los anexos reservados de los Autos 092 de 2008 y 009 de 2015; (ii) cuál es la metodología, el talento humano y los indicadores de cumplimiento para ejercer un proceso de vigilancia estricta a los procesos penales por los casos de violencia sexual de los Anexos Reservados de los Autos 092 de 2008 y 009 de 2015; (iii) cuáles son los mecanismos para el monitoreo y evaluación de su gestión en los procesos penales relativos a hechos de violencia sexual con ocasión al conflicto armado y al desplazamiento forzado y cuáles son los indicadores que ha desarrollado para evaluar esta gestión de vigilancia. </w:t>
      </w:r>
    </w:p>
    <w:p w14:paraId="42E52264" w14:textId="77777777" w:rsidR="003A7DB8" w:rsidRPr="00044EBD" w:rsidRDefault="003A7DB8" w:rsidP="00262BC4">
      <w:pPr>
        <w:pStyle w:val="Textonotapie"/>
        <w:rPr>
          <w:i/>
        </w:rPr>
      </w:pPr>
      <w:r w:rsidRPr="00044EBD">
        <w:rPr>
          <w:i/>
        </w:rPr>
        <w:t xml:space="preserve">Así mismo, se </w:t>
      </w:r>
      <w:r w:rsidRPr="00044EBD">
        <w:rPr>
          <w:b/>
          <w:bCs/>
          <w:i/>
        </w:rPr>
        <w:t xml:space="preserve">ORDENA </w:t>
      </w:r>
      <w:r w:rsidRPr="00044EBD">
        <w:rPr>
          <w:i/>
        </w:rPr>
        <w:t>a la Procuraduría General de la Nación que, dentro de los dos (2) meses siguientes a la comunicación de este Auto, presente a esta Sala Especial un informe detallado sobre las investigaciones disciplinarias que viene adelantando contra miembros de las Fuerzas Armadas involucrados en hechos de violencia sexual con ocasión al conflicto armado y al desplazamiento forzado</w:t>
      </w:r>
      <w:r>
        <w:rPr>
          <w:i/>
        </w:rPr>
        <w:t>”</w:t>
      </w:r>
      <w:r w:rsidRPr="00044EBD">
        <w:rPr>
          <w:i/>
        </w:rPr>
        <w:t>.</w:t>
      </w:r>
    </w:p>
  </w:footnote>
  <w:footnote w:id="6">
    <w:p w14:paraId="3F0E2C77" w14:textId="17BD10CF" w:rsidR="003A7DB8" w:rsidRPr="00ED09F4" w:rsidRDefault="003A7DB8">
      <w:pPr>
        <w:pStyle w:val="Textonotapie"/>
        <w:rPr>
          <w:lang w:val="es-ES"/>
        </w:rPr>
      </w:pPr>
      <w:r>
        <w:rPr>
          <w:rStyle w:val="Refdenotaalpie"/>
        </w:rPr>
        <w:footnoteRef/>
      </w:r>
      <w:r>
        <w:t xml:space="preserve"> </w:t>
      </w:r>
      <w:r>
        <w:rPr>
          <w:lang w:val="es-ES"/>
        </w:rPr>
        <w:t>Auto 460 de 2018. M.P. Gloria Stella Ortiz Delgado.</w:t>
      </w:r>
    </w:p>
  </w:footnote>
  <w:footnote w:id="7">
    <w:p w14:paraId="6E6CAA88" w14:textId="7411EBF0" w:rsidR="003A7DB8" w:rsidRDefault="003A7DB8">
      <w:pPr>
        <w:pStyle w:val="Textonotapie"/>
      </w:pPr>
      <w:r>
        <w:rPr>
          <w:rStyle w:val="Refdenotaalpie"/>
        </w:rPr>
        <w:footnoteRef/>
      </w:r>
      <w:r>
        <w:t xml:space="preserve"> Fiscalía General de la Nación. Respuesta al Auto 737 de 2017, mayo 22 de 2018, p. 3.</w:t>
      </w:r>
    </w:p>
  </w:footnote>
  <w:footnote w:id="8">
    <w:p w14:paraId="47D57651" w14:textId="486BBBAA" w:rsidR="003A7DB8" w:rsidRDefault="003A7DB8">
      <w:pPr>
        <w:pStyle w:val="Textonotapie"/>
      </w:pPr>
      <w:r>
        <w:rPr>
          <w:rStyle w:val="Refdenotaalpie"/>
        </w:rPr>
        <w:footnoteRef/>
      </w:r>
      <w:r>
        <w:t xml:space="preserve"> Fiscalía General de la Nación. Informe del 10 de abril de 2015. </w:t>
      </w:r>
    </w:p>
  </w:footnote>
  <w:footnote w:id="9">
    <w:p w14:paraId="32BC1B90" w14:textId="66C51F50" w:rsidR="003A7DB8" w:rsidRDefault="003A7DB8">
      <w:pPr>
        <w:pStyle w:val="Textonotapie"/>
      </w:pPr>
      <w:r>
        <w:rPr>
          <w:rStyle w:val="Refdenotaalpie"/>
        </w:rPr>
        <w:footnoteRef/>
      </w:r>
      <w:r>
        <w:t xml:space="preserve"> Fiscalía General de la Nación. Respuesta al Auto 737 de 2017, mayo 22 de 2018, p. 4.</w:t>
      </w:r>
    </w:p>
  </w:footnote>
  <w:footnote w:id="10">
    <w:p w14:paraId="50C0ABB3" w14:textId="005619EB" w:rsidR="003A7DB8" w:rsidRDefault="003A7DB8">
      <w:pPr>
        <w:pStyle w:val="Textonotapie"/>
      </w:pPr>
      <w:r>
        <w:rPr>
          <w:rStyle w:val="Refdenotaalpie"/>
        </w:rPr>
        <w:footnoteRef/>
      </w:r>
      <w:r>
        <w:t xml:space="preserve"> Fiscalía General de la Nación. Respuesta al Auto 737 de 2017, mayo 22 de 2018, p. 7.</w:t>
      </w:r>
    </w:p>
  </w:footnote>
  <w:footnote w:id="11">
    <w:p w14:paraId="3BFDE347" w14:textId="10B99808" w:rsidR="003A7DB8" w:rsidRDefault="003A7DB8">
      <w:pPr>
        <w:pStyle w:val="Textonotapie"/>
      </w:pPr>
      <w:r>
        <w:rPr>
          <w:rStyle w:val="Refdenotaalpie"/>
        </w:rPr>
        <w:footnoteRef/>
      </w:r>
      <w:r>
        <w:t xml:space="preserve"> Fiscalía General de la Nación. Respuesta al Auto 737 de 2017, mayo 22 de 2018, p. 9. </w:t>
      </w:r>
    </w:p>
  </w:footnote>
  <w:footnote w:id="12">
    <w:p w14:paraId="3F25E953" w14:textId="734AFE9F" w:rsidR="003A7DB8" w:rsidRDefault="003A7DB8">
      <w:pPr>
        <w:pStyle w:val="Textonotapie"/>
      </w:pPr>
      <w:r>
        <w:rPr>
          <w:rStyle w:val="Refdenotaalpie"/>
        </w:rPr>
        <w:footnoteRef/>
      </w:r>
      <w:r>
        <w:t xml:space="preserve"> Fiscalía General de la Nación. Respuesta al Auto 737 de 2017, mayo 22 de 2018, p. 11.</w:t>
      </w:r>
    </w:p>
  </w:footnote>
  <w:footnote w:id="13">
    <w:p w14:paraId="36FAA68A" w14:textId="544BEA7A" w:rsidR="003A7DB8" w:rsidRDefault="003A7DB8">
      <w:pPr>
        <w:pStyle w:val="Textonotapie"/>
      </w:pPr>
      <w:r>
        <w:rPr>
          <w:rStyle w:val="Refdenotaalpie"/>
        </w:rPr>
        <w:footnoteRef/>
      </w:r>
      <w:r>
        <w:t xml:space="preserve"> Fiscalía General de la Nación. Respuesta al Auto 737 de 2017, mayo 22 de 2018, p. 11.</w:t>
      </w:r>
    </w:p>
  </w:footnote>
  <w:footnote w:id="14">
    <w:p w14:paraId="224EC629" w14:textId="25497CC1" w:rsidR="003A7DB8" w:rsidRDefault="003A7DB8">
      <w:pPr>
        <w:pStyle w:val="Textonotapie"/>
      </w:pPr>
      <w:r>
        <w:rPr>
          <w:rStyle w:val="Refdenotaalpie"/>
        </w:rPr>
        <w:footnoteRef/>
      </w:r>
      <w:r>
        <w:t xml:space="preserve"> Fiscalía General de la Nación. Respuesta al Auto 737 de 2017, mayo 22 de 2018, p. 14.</w:t>
      </w:r>
    </w:p>
  </w:footnote>
  <w:footnote w:id="15">
    <w:p w14:paraId="6B943D39" w14:textId="3592C991" w:rsidR="003A7DB8" w:rsidRPr="00636984" w:rsidRDefault="003A7DB8">
      <w:pPr>
        <w:pStyle w:val="Textonotapie"/>
        <w:rPr>
          <w:lang w:val="es-ES"/>
        </w:rPr>
      </w:pPr>
      <w:r>
        <w:rPr>
          <w:rStyle w:val="Refdenotaalpie"/>
        </w:rPr>
        <w:footnoteRef/>
      </w:r>
      <w:r>
        <w:t xml:space="preserve"> Fiscalía General de la Nación. Respuesta al Auto 737 de 2017, mayo 22 de 2018, </w:t>
      </w:r>
      <w:r>
        <w:rPr>
          <w:lang w:val="es-ES"/>
        </w:rPr>
        <w:t>Tabla 3 p. 15</w:t>
      </w:r>
    </w:p>
  </w:footnote>
  <w:footnote w:id="16">
    <w:p w14:paraId="67528566" w14:textId="7D1F5C33" w:rsidR="003A7DB8" w:rsidRDefault="003A7DB8" w:rsidP="00636984">
      <w:pPr>
        <w:pStyle w:val="Textonotapie"/>
      </w:pPr>
      <w:r>
        <w:rPr>
          <w:rStyle w:val="Refdenotaalpie"/>
        </w:rPr>
        <w:footnoteRef/>
      </w:r>
      <w:r>
        <w:t xml:space="preserve"> Fiscalía General de la Nación. Respuesta al Auto 737 de 2017, mayo 22 de 2018, p. 15.</w:t>
      </w:r>
    </w:p>
  </w:footnote>
  <w:footnote w:id="17">
    <w:p w14:paraId="5EEF70B9" w14:textId="0C1575E4" w:rsidR="003A7DB8" w:rsidRPr="00636984" w:rsidRDefault="003A7DB8" w:rsidP="00DB7F7F">
      <w:pPr>
        <w:pStyle w:val="Textonotapie"/>
        <w:rPr>
          <w:lang w:val="es-ES"/>
        </w:rPr>
      </w:pPr>
      <w:r>
        <w:rPr>
          <w:rStyle w:val="Refdenotaalpie"/>
        </w:rPr>
        <w:footnoteRef/>
      </w:r>
      <w:r>
        <w:t xml:space="preserve"> Fiscalía General de la Nación. Respuesta al Auto 737 de 2017, mayo 22 de 2018, </w:t>
      </w:r>
      <w:r>
        <w:rPr>
          <w:lang w:val="es-ES"/>
        </w:rPr>
        <w:t>Tabla 5 p. 16</w:t>
      </w:r>
    </w:p>
  </w:footnote>
  <w:footnote w:id="18">
    <w:p w14:paraId="05E2B113" w14:textId="0C98472E" w:rsidR="003A7DB8" w:rsidRPr="00F40327" w:rsidRDefault="003A7DB8">
      <w:pPr>
        <w:pStyle w:val="Textonotapie"/>
        <w:rPr>
          <w:rFonts w:cs="Times New Roman"/>
        </w:rPr>
      </w:pPr>
      <w:r w:rsidRPr="00F40327">
        <w:rPr>
          <w:rStyle w:val="Refdenotaalpie"/>
          <w:rFonts w:cs="Times New Roman"/>
        </w:rPr>
        <w:footnoteRef/>
      </w:r>
      <w:r>
        <w:rPr>
          <w:rFonts w:cs="Times New Roman"/>
        </w:rPr>
        <w:t xml:space="preserve"> Al respecto la respuesta indicó lo siguiente:</w:t>
      </w:r>
      <w:r w:rsidRPr="00F40327">
        <w:rPr>
          <w:rFonts w:cs="Times New Roman"/>
        </w:rPr>
        <w:t xml:space="preserve"> “</w:t>
      </w:r>
      <w:r w:rsidRPr="00F40327">
        <w:rPr>
          <w:rFonts w:cs="Times New Roman"/>
          <w:i/>
        </w:rPr>
        <w:t xml:space="preserve">El estado inactivo </w:t>
      </w:r>
      <w:r w:rsidRPr="00F40327">
        <w:rPr>
          <w:rFonts w:eastAsiaTheme="minorHAnsi" w:cs="Times New Roman"/>
          <w:i/>
        </w:rPr>
        <w:t>hace referencia a aquellas investigaciones</w:t>
      </w:r>
      <w:r w:rsidRPr="00F40327">
        <w:rPr>
          <w:rFonts w:cs="Times New Roman"/>
          <w:i/>
        </w:rPr>
        <w:t xml:space="preserve"> </w:t>
      </w:r>
      <w:r w:rsidRPr="00F40327">
        <w:rPr>
          <w:rFonts w:eastAsiaTheme="minorHAnsi" w:cs="Times New Roman"/>
          <w:i/>
        </w:rPr>
        <w:t>en las que la Fiscalía no está ejerciendo actualmente su condición de instructor, esto es en las</w:t>
      </w:r>
      <w:r w:rsidRPr="00F40327">
        <w:rPr>
          <w:rFonts w:cs="Times New Roman"/>
          <w:i/>
        </w:rPr>
        <w:t xml:space="preserve"> </w:t>
      </w:r>
      <w:r w:rsidRPr="00F40327">
        <w:rPr>
          <w:rFonts w:eastAsiaTheme="minorHAnsi" w:cs="Times New Roman"/>
          <w:i/>
        </w:rPr>
        <w:t>que se profirió decisión de archivo (Ley 906 de 2004) o inhibitoria (Ley 600 de 2000). Otras investigaciones que figuran como inactivas en los sistemas misionales de información son aquellas que iniciaron en justicia ordinaria y pasaron a conocimiento de la jurisdicción especial de Justicia y Paz [en el evento en que el postulado (o los postulados) sea excluido, los procesos volverán a la justicia ordinaria y aparecerán nuevamente en los sistemas de información como investigaciones activas]. De igual manera, los procesos que finalizaron (mediante juicio o de manera anticipada) figuran como inactivos. No obstante, existe desactualización en los sistemas de información respecto de esta circunstancia procesal</w:t>
      </w:r>
      <w:r>
        <w:rPr>
          <w:rFonts w:eastAsiaTheme="minorHAnsi" w:cs="Times New Roman"/>
          <w:i/>
        </w:rPr>
        <w:t>”</w:t>
      </w:r>
      <w:r w:rsidRPr="00F40327">
        <w:rPr>
          <w:rFonts w:eastAsiaTheme="minorHAnsi" w:cs="Times New Roman"/>
          <w:i/>
        </w:rPr>
        <w:t>.</w:t>
      </w:r>
      <w:r>
        <w:rPr>
          <w:rFonts w:eastAsiaTheme="minorHAnsi" w:cs="Times New Roman"/>
          <w:i/>
        </w:rPr>
        <w:t xml:space="preserve"> </w:t>
      </w:r>
      <w:r>
        <w:t>Fiscalía General de la Nación. Respuesta al Auto 737 de 2017, mayo 22 de 2018, p. 14.</w:t>
      </w:r>
    </w:p>
  </w:footnote>
  <w:footnote w:id="19">
    <w:p w14:paraId="4042DF9B" w14:textId="5775D467" w:rsidR="003A7DB8" w:rsidRDefault="003A7DB8">
      <w:pPr>
        <w:pStyle w:val="Textonotapie"/>
      </w:pPr>
      <w:r>
        <w:rPr>
          <w:rStyle w:val="Refdenotaalpie"/>
        </w:rPr>
        <w:footnoteRef/>
      </w:r>
      <w:r>
        <w:t xml:space="preserve"> Por ejemplo, en la presentación la Fiscalía señaló que 1 de los 150 casos reportados por Ley 906 está en juicio, mientras que, en el reporte recibido en mayo indicó que son 8 los casos en juicio de los 153 casos investigados por Ley 906.</w:t>
      </w:r>
    </w:p>
  </w:footnote>
  <w:footnote w:id="20">
    <w:p w14:paraId="335F9FAF" w14:textId="4601062D" w:rsidR="003A7DB8" w:rsidRPr="00BA557B" w:rsidRDefault="003A7DB8">
      <w:pPr>
        <w:pStyle w:val="Textonotapie"/>
      </w:pPr>
      <w:r>
        <w:rPr>
          <w:rStyle w:val="Refdenotaalpie"/>
        </w:rPr>
        <w:footnoteRef/>
      </w:r>
      <w:r>
        <w:t xml:space="preserve"> Respuesta de la Procuraduría General de la Nación al Auto 737 de 2017. Mayo 17 de 2018.</w:t>
      </w:r>
    </w:p>
  </w:footnote>
  <w:footnote w:id="21">
    <w:p w14:paraId="13BB873F" w14:textId="33D77D65" w:rsidR="003A7DB8" w:rsidRPr="001627A0" w:rsidRDefault="003A7DB8" w:rsidP="008D75F7">
      <w:pPr>
        <w:pStyle w:val="Textonotapie"/>
      </w:pPr>
      <w:r>
        <w:rPr>
          <w:rStyle w:val="Refdenotaalpie"/>
        </w:rPr>
        <w:footnoteRef/>
      </w:r>
      <w:r>
        <w:t xml:space="preserve"> Respuesta de la Procuraduría General de la Nación al Auto 737 de 2017. Mayo 17 de 2018, p.7.</w:t>
      </w:r>
    </w:p>
  </w:footnote>
  <w:footnote w:id="22">
    <w:p w14:paraId="210D1EF2" w14:textId="39586148" w:rsidR="003A7DB8" w:rsidRPr="00885BD6" w:rsidRDefault="003A7DB8">
      <w:pPr>
        <w:pStyle w:val="Textonotapie"/>
      </w:pPr>
      <w:r>
        <w:rPr>
          <w:rStyle w:val="Refdenotaalpie"/>
        </w:rPr>
        <w:footnoteRef/>
      </w:r>
      <w:r>
        <w:t xml:space="preserve"> Tabla contenida en la Respuesta de la Procuraduría General de la Nación al Auto 737 de 2017. Mayo 17 de 2018, p, 10.</w:t>
      </w:r>
    </w:p>
  </w:footnote>
  <w:footnote w:id="23">
    <w:p w14:paraId="62E8C21B" w14:textId="1698BD17" w:rsidR="003A7DB8" w:rsidRPr="00B06873" w:rsidRDefault="003A7DB8" w:rsidP="00416613">
      <w:pPr>
        <w:pStyle w:val="Textonotapie"/>
      </w:pPr>
      <w:r>
        <w:rPr>
          <w:rStyle w:val="Refdenotaalpie"/>
        </w:rPr>
        <w:footnoteRef/>
      </w:r>
      <w:r>
        <w:t xml:space="preserve"> Respuesta de la UARIV al Auto 737 de 2017, junio 25 de 2018, p. 8</w:t>
      </w:r>
    </w:p>
  </w:footnote>
  <w:footnote w:id="24">
    <w:p w14:paraId="63B9D79A" w14:textId="7E7B5596" w:rsidR="003A7DB8" w:rsidRDefault="003A7DB8">
      <w:pPr>
        <w:pStyle w:val="Textonotapie"/>
      </w:pPr>
      <w:r>
        <w:rPr>
          <w:rStyle w:val="Refdenotaalpie"/>
        </w:rPr>
        <w:footnoteRef/>
      </w:r>
      <w:r>
        <w:t xml:space="preserve"> Respuesta de la UARIV al Auto 737 de 2017, junio 25 de 2018, p. 10.</w:t>
      </w:r>
    </w:p>
  </w:footnote>
  <w:footnote w:id="25">
    <w:p w14:paraId="47EC721B" w14:textId="09D092CF" w:rsidR="003A7DB8" w:rsidRPr="00F0123F" w:rsidRDefault="003A7DB8">
      <w:pPr>
        <w:pStyle w:val="Textonotapie"/>
      </w:pPr>
      <w:r w:rsidRPr="00F0123F">
        <w:rPr>
          <w:rStyle w:val="Refdenotaalpie"/>
        </w:rPr>
        <w:footnoteRef/>
      </w:r>
      <w:r w:rsidRPr="00F0123F">
        <w:t xml:space="preserve"> “</w:t>
      </w:r>
      <w:r w:rsidRPr="00F0123F">
        <w:rPr>
          <w:i/>
        </w:rPr>
        <w:t>Hace referencia al mensaje estatal de reconocimiento de la condición de víctima y de exaltación de la dignidad, nombre y honor de la persona ante la comunidad y el ofensor, este mensaje es entregado a las víctimas actualmente durante la elaboración de la entrevista de caracterización en el momento de reparación</w:t>
      </w:r>
      <w:r w:rsidRPr="00F0123F">
        <w:t>”. Respuesta de la UARIV al Auto 737 de 2017, junio 25 de 2018, p. 19.</w:t>
      </w:r>
    </w:p>
  </w:footnote>
  <w:footnote w:id="26">
    <w:p w14:paraId="78F5765D" w14:textId="63CCAE55" w:rsidR="003A7DB8" w:rsidRPr="00F1295C" w:rsidRDefault="003A7DB8" w:rsidP="00F1295C">
      <w:pPr>
        <w:pStyle w:val="Default"/>
        <w:rPr>
          <w:sz w:val="20"/>
          <w:szCs w:val="20"/>
        </w:rPr>
      </w:pPr>
      <w:r w:rsidRPr="00F1295C">
        <w:rPr>
          <w:rStyle w:val="Refdenotaalpie"/>
          <w:sz w:val="20"/>
          <w:szCs w:val="20"/>
        </w:rPr>
        <w:footnoteRef/>
      </w:r>
      <w:r w:rsidRPr="00F1295C">
        <w:rPr>
          <w:sz w:val="20"/>
          <w:szCs w:val="20"/>
        </w:rPr>
        <w:t xml:space="preserve"> UAIRV. </w:t>
      </w:r>
      <w:r>
        <w:rPr>
          <w:bCs/>
          <w:sz w:val="20"/>
          <w:szCs w:val="20"/>
        </w:rPr>
        <w:t>Informe d</w:t>
      </w:r>
      <w:r w:rsidRPr="00F1295C">
        <w:rPr>
          <w:bCs/>
          <w:sz w:val="20"/>
          <w:szCs w:val="20"/>
        </w:rPr>
        <w:t>e Avances Casos Anexos Reservados Auto 092 DE 2008 Y 009 DE 2015, 17 de abril de 2018.</w:t>
      </w:r>
    </w:p>
  </w:footnote>
  <w:footnote w:id="27">
    <w:p w14:paraId="4A448E75" w14:textId="0BFF45AA" w:rsidR="003A7DB8" w:rsidRDefault="003A7DB8">
      <w:pPr>
        <w:pStyle w:val="Textonotapie"/>
      </w:pPr>
      <w:r>
        <w:rPr>
          <w:rStyle w:val="Refdenotaalpie"/>
        </w:rPr>
        <w:footnoteRef/>
      </w:r>
      <w:r>
        <w:t xml:space="preserve"> </w:t>
      </w:r>
      <w:r w:rsidRPr="00F1295C">
        <w:rPr>
          <w:rFonts w:cs="Times New Roman"/>
        </w:rPr>
        <w:t xml:space="preserve">UAIRV. </w:t>
      </w:r>
      <w:r>
        <w:rPr>
          <w:bCs/>
        </w:rPr>
        <w:t>Informe d</w:t>
      </w:r>
      <w:r w:rsidR="00385456">
        <w:rPr>
          <w:bCs/>
        </w:rPr>
        <w:t>e avances de los c</w:t>
      </w:r>
      <w:r w:rsidRPr="00F1295C">
        <w:rPr>
          <w:bCs/>
        </w:rPr>
        <w:t xml:space="preserve">asos </w:t>
      </w:r>
      <w:r w:rsidR="00385456">
        <w:rPr>
          <w:bCs/>
        </w:rPr>
        <w:t>de los anexos r</w:t>
      </w:r>
      <w:r w:rsidRPr="00F1295C">
        <w:rPr>
          <w:bCs/>
        </w:rPr>
        <w:t>eservados</w:t>
      </w:r>
      <w:r w:rsidR="00385456">
        <w:rPr>
          <w:bCs/>
        </w:rPr>
        <w:t>.</w:t>
      </w:r>
      <w:r w:rsidRPr="00F1295C">
        <w:rPr>
          <w:bCs/>
        </w:rPr>
        <w:t xml:space="preserve"> Auto </w:t>
      </w:r>
      <w:r w:rsidRPr="00F1295C">
        <w:rPr>
          <w:rFonts w:eastAsiaTheme="minorHAnsi" w:cs="Times New Roman"/>
          <w:bCs/>
          <w:color w:val="000000"/>
        </w:rPr>
        <w:t xml:space="preserve">092 </w:t>
      </w:r>
      <w:r>
        <w:rPr>
          <w:rFonts w:eastAsiaTheme="minorHAnsi" w:cs="Times New Roman"/>
          <w:bCs/>
          <w:color w:val="000000"/>
        </w:rPr>
        <w:t>de</w:t>
      </w:r>
      <w:r w:rsidR="00385456">
        <w:rPr>
          <w:rFonts w:eastAsiaTheme="minorHAnsi" w:cs="Times New Roman"/>
          <w:bCs/>
          <w:color w:val="000000"/>
        </w:rPr>
        <w:t xml:space="preserve"> 2008 y</w:t>
      </w:r>
      <w:r w:rsidRPr="00F1295C">
        <w:rPr>
          <w:rFonts w:eastAsiaTheme="minorHAnsi" w:cs="Times New Roman"/>
          <w:bCs/>
          <w:color w:val="000000"/>
        </w:rPr>
        <w:t xml:space="preserve"> 009 </w:t>
      </w:r>
      <w:r>
        <w:rPr>
          <w:rFonts w:eastAsiaTheme="minorHAnsi" w:cs="Times New Roman"/>
          <w:bCs/>
          <w:color w:val="000000"/>
        </w:rPr>
        <w:t>de</w:t>
      </w:r>
      <w:r w:rsidRPr="00F1295C">
        <w:rPr>
          <w:rFonts w:eastAsiaTheme="minorHAnsi" w:cs="Times New Roman"/>
          <w:bCs/>
          <w:color w:val="000000"/>
        </w:rPr>
        <w:t xml:space="preserve"> 2015</w:t>
      </w:r>
      <w:r>
        <w:rPr>
          <w:rFonts w:cs="Times New Roman"/>
          <w:bCs/>
        </w:rPr>
        <w:t>, 17 de abril de 2018, p. 11-12.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162659"/>
      <w:docPartObj>
        <w:docPartGallery w:val="Page Numbers (Top of Page)"/>
        <w:docPartUnique/>
      </w:docPartObj>
    </w:sdtPr>
    <w:sdtEndPr>
      <w:rPr>
        <w:sz w:val="20"/>
        <w:szCs w:val="20"/>
      </w:rPr>
    </w:sdtEndPr>
    <w:sdtContent>
      <w:p w14:paraId="0AB2AF95" w14:textId="0CD8F8D0" w:rsidR="003A7DB8" w:rsidRPr="003B10E5" w:rsidRDefault="003A7DB8">
        <w:pPr>
          <w:pStyle w:val="Encabezado"/>
          <w:jc w:val="right"/>
          <w:rPr>
            <w:sz w:val="20"/>
            <w:szCs w:val="20"/>
          </w:rPr>
        </w:pPr>
        <w:r w:rsidRPr="003B10E5">
          <w:rPr>
            <w:sz w:val="20"/>
            <w:szCs w:val="20"/>
          </w:rPr>
          <w:fldChar w:fldCharType="begin"/>
        </w:r>
        <w:r w:rsidRPr="003B10E5">
          <w:rPr>
            <w:sz w:val="20"/>
            <w:szCs w:val="20"/>
          </w:rPr>
          <w:instrText>PAGE   \* MERGEFORMAT</w:instrText>
        </w:r>
        <w:r w:rsidRPr="003B10E5">
          <w:rPr>
            <w:sz w:val="20"/>
            <w:szCs w:val="20"/>
          </w:rPr>
          <w:fldChar w:fldCharType="separate"/>
        </w:r>
        <w:r w:rsidR="00F217FD" w:rsidRPr="00F217FD">
          <w:rPr>
            <w:noProof/>
            <w:sz w:val="20"/>
            <w:szCs w:val="20"/>
            <w:lang w:val="es-ES"/>
          </w:rPr>
          <w:t>20</w:t>
        </w:r>
        <w:r w:rsidRPr="003B10E5">
          <w:rPr>
            <w:sz w:val="20"/>
            <w:szCs w:val="20"/>
          </w:rPr>
          <w:fldChar w:fldCharType="end"/>
        </w:r>
      </w:p>
    </w:sdtContent>
  </w:sdt>
  <w:p w14:paraId="6D0381CD" w14:textId="77777777" w:rsidR="003A7DB8" w:rsidRPr="00D96642" w:rsidRDefault="003A7DB8" w:rsidP="003B10E5">
    <w:pPr>
      <w:widowControl w:val="0"/>
      <w:autoSpaceDE w:val="0"/>
      <w:autoSpaceDN w:val="0"/>
      <w:adjustRightInd w:val="0"/>
      <w:jc w:val="left"/>
      <w:rPr>
        <w:rFonts w:cs="Times New Roman"/>
        <w:i/>
        <w:iCs/>
        <w:sz w:val="17"/>
        <w:szCs w:val="17"/>
      </w:rPr>
    </w:pPr>
    <w:r w:rsidRPr="00D96642">
      <w:rPr>
        <w:rFonts w:cs="Times New Roman"/>
        <w:i/>
        <w:iCs/>
        <w:sz w:val="17"/>
        <w:szCs w:val="17"/>
      </w:rPr>
      <w:t xml:space="preserve">Sala Especial de Seguimiento Sentencia T-025 de 2004 </w:t>
    </w:r>
  </w:p>
  <w:p w14:paraId="3A977994" w14:textId="77777777" w:rsidR="003A7DB8" w:rsidRPr="00D96642" w:rsidRDefault="003A7DB8" w:rsidP="003B10E5">
    <w:pPr>
      <w:widowControl w:val="0"/>
      <w:autoSpaceDE w:val="0"/>
      <w:autoSpaceDN w:val="0"/>
      <w:adjustRightInd w:val="0"/>
      <w:jc w:val="left"/>
      <w:rPr>
        <w:rFonts w:cs="Times New Roman"/>
        <w:sz w:val="24"/>
        <w:szCs w:val="24"/>
      </w:rPr>
    </w:pPr>
    <w:r w:rsidRPr="00D96642">
      <w:rPr>
        <w:rFonts w:cs="Times New Roman"/>
        <w:i/>
        <w:iCs/>
        <w:sz w:val="17"/>
        <w:szCs w:val="17"/>
      </w:rPr>
      <w:t>M.P. Gloria Stella Ortiz Delgado</w:t>
    </w:r>
  </w:p>
  <w:p w14:paraId="7034A5FA" w14:textId="1CBFF1F9" w:rsidR="003A7DB8" w:rsidRDefault="003A7DB8" w:rsidP="006150B5">
    <w:pPr>
      <w:pStyle w:val="Encabezado"/>
      <w:tabs>
        <w:tab w:val="clear" w:pos="4419"/>
        <w:tab w:val="clear" w:pos="8838"/>
        <w:tab w:val="left" w:pos="754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E4F6F"/>
    <w:multiLevelType w:val="hybridMultilevel"/>
    <w:tmpl w:val="4ED830AC"/>
    <w:lvl w:ilvl="0" w:tplc="88B63060">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
    <w:nsid w:val="15226A6E"/>
    <w:multiLevelType w:val="hybridMultilevel"/>
    <w:tmpl w:val="86FACED0"/>
    <w:lvl w:ilvl="0" w:tplc="FCA019FA">
      <w:start w:val="1"/>
      <w:numFmt w:val="decimal"/>
      <w:lvlText w:val="%1."/>
      <w:lvlJc w:val="left"/>
      <w:pPr>
        <w:ind w:left="644" w:hanging="360"/>
      </w:pPr>
      <w:rPr>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5D6635F"/>
    <w:multiLevelType w:val="hybridMultilevel"/>
    <w:tmpl w:val="D9981D84"/>
    <w:lvl w:ilvl="0" w:tplc="240A000F">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B2E7384"/>
    <w:multiLevelType w:val="hybridMultilevel"/>
    <w:tmpl w:val="F01E2DC8"/>
    <w:lvl w:ilvl="0" w:tplc="B80C56B0">
      <w:start w:val="1"/>
      <w:numFmt w:val="ordinalText"/>
      <w:lvlText w:val="%1."/>
      <w:lvlJc w:val="left"/>
      <w:pPr>
        <w:ind w:left="1211"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CAD5BCD"/>
    <w:multiLevelType w:val="hybridMultilevel"/>
    <w:tmpl w:val="A866DA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D4F0591"/>
    <w:multiLevelType w:val="hybridMultilevel"/>
    <w:tmpl w:val="9BF6B438"/>
    <w:lvl w:ilvl="0" w:tplc="240A000F">
      <w:start w:val="1"/>
      <w:numFmt w:val="decimal"/>
      <w:lvlText w:val="%1."/>
      <w:lvlJc w:val="left"/>
      <w:pPr>
        <w:ind w:left="1800" w:hanging="360"/>
      </w:p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6">
    <w:nsid w:val="20C96EC4"/>
    <w:multiLevelType w:val="hybridMultilevel"/>
    <w:tmpl w:val="3C3048B0"/>
    <w:lvl w:ilvl="0" w:tplc="E648062E">
      <w:start w:val="1"/>
      <w:numFmt w:val="decimal"/>
      <w:suff w:val="space"/>
      <w:lvlText w:val="%1."/>
      <w:lvlJc w:val="left"/>
      <w:pPr>
        <w:ind w:left="2" w:firstLine="0"/>
      </w:pPr>
      <w:rPr>
        <w:rFonts w:hint="default"/>
        <w:b/>
        <w:i w:val="0"/>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29A3362"/>
    <w:multiLevelType w:val="hybridMultilevel"/>
    <w:tmpl w:val="D32E2286"/>
    <w:lvl w:ilvl="0" w:tplc="FCA019FA">
      <w:start w:val="1"/>
      <w:numFmt w:val="decimal"/>
      <w:lvlText w:val="%1."/>
      <w:lvlJc w:val="left"/>
      <w:pPr>
        <w:ind w:left="644" w:hanging="360"/>
      </w:pPr>
      <w:rPr>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ADD0CCB"/>
    <w:multiLevelType w:val="hybridMultilevel"/>
    <w:tmpl w:val="064CCC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DDA40EF"/>
    <w:multiLevelType w:val="hybridMultilevel"/>
    <w:tmpl w:val="9A285E44"/>
    <w:lvl w:ilvl="0" w:tplc="9B44175A">
      <w:start w:val="1"/>
      <w:numFmt w:val="lowerRoman"/>
      <w:lvlText w:val="(%1)"/>
      <w:lvlJc w:val="left"/>
      <w:pPr>
        <w:ind w:left="2694" w:hanging="360"/>
      </w:pPr>
      <w:rPr>
        <w:rFonts w:hint="default"/>
      </w:rPr>
    </w:lvl>
    <w:lvl w:ilvl="1" w:tplc="240A0019" w:tentative="1">
      <w:start w:val="1"/>
      <w:numFmt w:val="lowerLetter"/>
      <w:lvlText w:val="%2."/>
      <w:lvlJc w:val="left"/>
      <w:pPr>
        <w:ind w:left="3414" w:hanging="360"/>
      </w:pPr>
    </w:lvl>
    <w:lvl w:ilvl="2" w:tplc="240A001B" w:tentative="1">
      <w:start w:val="1"/>
      <w:numFmt w:val="lowerRoman"/>
      <w:lvlText w:val="%3."/>
      <w:lvlJc w:val="right"/>
      <w:pPr>
        <w:ind w:left="4134" w:hanging="180"/>
      </w:pPr>
    </w:lvl>
    <w:lvl w:ilvl="3" w:tplc="240A000F" w:tentative="1">
      <w:start w:val="1"/>
      <w:numFmt w:val="decimal"/>
      <w:lvlText w:val="%4."/>
      <w:lvlJc w:val="left"/>
      <w:pPr>
        <w:ind w:left="4854" w:hanging="360"/>
      </w:pPr>
    </w:lvl>
    <w:lvl w:ilvl="4" w:tplc="240A0019" w:tentative="1">
      <w:start w:val="1"/>
      <w:numFmt w:val="lowerLetter"/>
      <w:lvlText w:val="%5."/>
      <w:lvlJc w:val="left"/>
      <w:pPr>
        <w:ind w:left="5574" w:hanging="360"/>
      </w:pPr>
    </w:lvl>
    <w:lvl w:ilvl="5" w:tplc="240A001B" w:tentative="1">
      <w:start w:val="1"/>
      <w:numFmt w:val="lowerRoman"/>
      <w:lvlText w:val="%6."/>
      <w:lvlJc w:val="right"/>
      <w:pPr>
        <w:ind w:left="6294" w:hanging="180"/>
      </w:pPr>
    </w:lvl>
    <w:lvl w:ilvl="6" w:tplc="240A000F" w:tentative="1">
      <w:start w:val="1"/>
      <w:numFmt w:val="decimal"/>
      <w:lvlText w:val="%7."/>
      <w:lvlJc w:val="left"/>
      <w:pPr>
        <w:ind w:left="7014" w:hanging="360"/>
      </w:pPr>
    </w:lvl>
    <w:lvl w:ilvl="7" w:tplc="240A0019" w:tentative="1">
      <w:start w:val="1"/>
      <w:numFmt w:val="lowerLetter"/>
      <w:lvlText w:val="%8."/>
      <w:lvlJc w:val="left"/>
      <w:pPr>
        <w:ind w:left="7734" w:hanging="360"/>
      </w:pPr>
    </w:lvl>
    <w:lvl w:ilvl="8" w:tplc="240A001B" w:tentative="1">
      <w:start w:val="1"/>
      <w:numFmt w:val="lowerRoman"/>
      <w:lvlText w:val="%9."/>
      <w:lvlJc w:val="right"/>
      <w:pPr>
        <w:ind w:left="8454" w:hanging="180"/>
      </w:pPr>
    </w:lvl>
  </w:abstractNum>
  <w:abstractNum w:abstractNumId="10">
    <w:nsid w:val="31FF5045"/>
    <w:multiLevelType w:val="hybridMultilevel"/>
    <w:tmpl w:val="43D0054E"/>
    <w:lvl w:ilvl="0" w:tplc="240A000F">
      <w:start w:val="1"/>
      <w:numFmt w:val="decimal"/>
      <w:lvlText w:val="%1."/>
      <w:lvlJc w:val="left"/>
      <w:pPr>
        <w:ind w:left="1800" w:hanging="360"/>
      </w:p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11">
    <w:nsid w:val="33806936"/>
    <w:multiLevelType w:val="hybridMultilevel"/>
    <w:tmpl w:val="493A88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4F845DE"/>
    <w:multiLevelType w:val="hybridMultilevel"/>
    <w:tmpl w:val="1AAA61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5BC0364"/>
    <w:multiLevelType w:val="hybridMultilevel"/>
    <w:tmpl w:val="BD3637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7AA7B88"/>
    <w:multiLevelType w:val="hybridMultilevel"/>
    <w:tmpl w:val="DE54FC2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D324118"/>
    <w:multiLevelType w:val="hybridMultilevel"/>
    <w:tmpl w:val="AFA84A5A"/>
    <w:lvl w:ilvl="0" w:tplc="F08CA966">
      <w:start w:val="1"/>
      <w:numFmt w:val="decimal"/>
      <w:lvlText w:val="%1."/>
      <w:lvlJc w:val="left"/>
      <w:pPr>
        <w:ind w:left="928" w:hanging="360"/>
      </w:pPr>
      <w:rPr>
        <w:rFonts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E706CA9"/>
    <w:multiLevelType w:val="hybridMultilevel"/>
    <w:tmpl w:val="38CA1616"/>
    <w:lvl w:ilvl="0" w:tplc="9B44175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3274833"/>
    <w:multiLevelType w:val="hybridMultilevel"/>
    <w:tmpl w:val="1D42C2EA"/>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nsid w:val="5EC73417"/>
    <w:multiLevelType w:val="hybridMultilevel"/>
    <w:tmpl w:val="EF6E14A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622E3A60"/>
    <w:multiLevelType w:val="hybridMultilevel"/>
    <w:tmpl w:val="18AC069A"/>
    <w:lvl w:ilvl="0" w:tplc="9FE22174">
      <w:start w:val="1"/>
      <w:numFmt w:val="decimal"/>
      <w:lvlText w:val="%1."/>
      <w:lvlJc w:val="left"/>
      <w:pPr>
        <w:ind w:left="1080" w:hanging="360"/>
      </w:pPr>
      <w:rPr>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
    <w:nsid w:val="651F2701"/>
    <w:multiLevelType w:val="hybridMultilevel"/>
    <w:tmpl w:val="3698F206"/>
    <w:lvl w:ilvl="0" w:tplc="CC0A15CA">
      <w:start w:val="975"/>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6714C05"/>
    <w:multiLevelType w:val="hybridMultilevel"/>
    <w:tmpl w:val="0E4856C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6ECA06B5"/>
    <w:multiLevelType w:val="hybridMultilevel"/>
    <w:tmpl w:val="6F7EB812"/>
    <w:lvl w:ilvl="0" w:tplc="FDFEC2E4">
      <w:start w:val="1"/>
      <w:numFmt w:val="decimal"/>
      <w:lvlText w:val="%1."/>
      <w:lvlJc w:val="left"/>
      <w:pPr>
        <w:ind w:left="2204"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26F5F45"/>
    <w:multiLevelType w:val="hybridMultilevel"/>
    <w:tmpl w:val="311C6EF2"/>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733343B8"/>
    <w:multiLevelType w:val="hybridMultilevel"/>
    <w:tmpl w:val="2174B224"/>
    <w:lvl w:ilvl="0" w:tplc="4FA2490E">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nsid w:val="78AC2754"/>
    <w:multiLevelType w:val="hybridMultilevel"/>
    <w:tmpl w:val="5A7A51A4"/>
    <w:lvl w:ilvl="0" w:tplc="DB12D8E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7AB26283"/>
    <w:multiLevelType w:val="hybridMultilevel"/>
    <w:tmpl w:val="485A1422"/>
    <w:lvl w:ilvl="0" w:tplc="E648062E">
      <w:start w:val="1"/>
      <w:numFmt w:val="decimal"/>
      <w:suff w:val="space"/>
      <w:lvlText w:val="%1."/>
      <w:lvlJc w:val="left"/>
      <w:pPr>
        <w:ind w:left="2" w:firstLine="0"/>
      </w:pPr>
      <w:rPr>
        <w:rFonts w:hint="default"/>
        <w:b/>
        <w:i w:val="0"/>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DDC223E"/>
    <w:multiLevelType w:val="hybridMultilevel"/>
    <w:tmpl w:val="445AA7D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5"/>
  </w:num>
  <w:num w:numId="2">
    <w:abstractNumId w:val="19"/>
  </w:num>
  <w:num w:numId="3">
    <w:abstractNumId w:val="17"/>
  </w:num>
  <w:num w:numId="4">
    <w:abstractNumId w:val="5"/>
  </w:num>
  <w:num w:numId="5">
    <w:abstractNumId w:val="3"/>
  </w:num>
  <w:num w:numId="6">
    <w:abstractNumId w:val="10"/>
  </w:num>
  <w:num w:numId="7">
    <w:abstractNumId w:val="0"/>
  </w:num>
  <w:num w:numId="8">
    <w:abstractNumId w:val="15"/>
  </w:num>
  <w:num w:numId="9">
    <w:abstractNumId w:val="11"/>
  </w:num>
  <w:num w:numId="10">
    <w:abstractNumId w:val="1"/>
  </w:num>
  <w:num w:numId="11">
    <w:abstractNumId w:val="12"/>
  </w:num>
  <w:num w:numId="12">
    <w:abstractNumId w:val="7"/>
  </w:num>
  <w:num w:numId="13">
    <w:abstractNumId w:val="13"/>
  </w:num>
  <w:num w:numId="14">
    <w:abstractNumId w:val="14"/>
  </w:num>
  <w:num w:numId="15">
    <w:abstractNumId w:val="26"/>
  </w:num>
  <w:num w:numId="16">
    <w:abstractNumId w:val="6"/>
  </w:num>
  <w:num w:numId="17">
    <w:abstractNumId w:val="24"/>
  </w:num>
  <w:num w:numId="18">
    <w:abstractNumId w:val="18"/>
  </w:num>
  <w:num w:numId="19">
    <w:abstractNumId w:val="20"/>
  </w:num>
  <w:num w:numId="20">
    <w:abstractNumId w:val="8"/>
  </w:num>
  <w:num w:numId="21">
    <w:abstractNumId w:val="2"/>
  </w:num>
  <w:num w:numId="22">
    <w:abstractNumId w:val="21"/>
  </w:num>
  <w:num w:numId="23">
    <w:abstractNumId w:val="27"/>
  </w:num>
  <w:num w:numId="24">
    <w:abstractNumId w:val="4"/>
  </w:num>
  <w:num w:numId="25">
    <w:abstractNumId w:val="16"/>
  </w:num>
  <w:num w:numId="26">
    <w:abstractNumId w:val="23"/>
  </w:num>
  <w:num w:numId="27">
    <w:abstractNumId w:val="9"/>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5C4"/>
    <w:rsid w:val="000009D7"/>
    <w:rsid w:val="00002C47"/>
    <w:rsid w:val="000044CD"/>
    <w:rsid w:val="00004815"/>
    <w:rsid w:val="00017A96"/>
    <w:rsid w:val="00024052"/>
    <w:rsid w:val="00025CD4"/>
    <w:rsid w:val="00030A9A"/>
    <w:rsid w:val="000341BB"/>
    <w:rsid w:val="00043871"/>
    <w:rsid w:val="00044EBD"/>
    <w:rsid w:val="00046FE1"/>
    <w:rsid w:val="000532F4"/>
    <w:rsid w:val="000608D2"/>
    <w:rsid w:val="00064D93"/>
    <w:rsid w:val="00083CA0"/>
    <w:rsid w:val="0008518C"/>
    <w:rsid w:val="00087486"/>
    <w:rsid w:val="00092686"/>
    <w:rsid w:val="00095D69"/>
    <w:rsid w:val="000B17B7"/>
    <w:rsid w:val="000C0BC8"/>
    <w:rsid w:val="000C35EF"/>
    <w:rsid w:val="000C4E64"/>
    <w:rsid w:val="00100A24"/>
    <w:rsid w:val="0010189C"/>
    <w:rsid w:val="00102D13"/>
    <w:rsid w:val="00127ADC"/>
    <w:rsid w:val="00132317"/>
    <w:rsid w:val="00136A38"/>
    <w:rsid w:val="0014504F"/>
    <w:rsid w:val="00150AB5"/>
    <w:rsid w:val="00164F80"/>
    <w:rsid w:val="00166D3F"/>
    <w:rsid w:val="00177953"/>
    <w:rsid w:val="00180A13"/>
    <w:rsid w:val="001814C1"/>
    <w:rsid w:val="0018659E"/>
    <w:rsid w:val="00195E74"/>
    <w:rsid w:val="001A3C80"/>
    <w:rsid w:val="001A65FA"/>
    <w:rsid w:val="001B1508"/>
    <w:rsid w:val="001B23BE"/>
    <w:rsid w:val="001B32C8"/>
    <w:rsid w:val="001B4BD3"/>
    <w:rsid w:val="001C3211"/>
    <w:rsid w:val="001C4667"/>
    <w:rsid w:val="001D384C"/>
    <w:rsid w:val="001D4393"/>
    <w:rsid w:val="001E1F03"/>
    <w:rsid w:val="001E4335"/>
    <w:rsid w:val="001E44DD"/>
    <w:rsid w:val="002000D0"/>
    <w:rsid w:val="0020230E"/>
    <w:rsid w:val="00202376"/>
    <w:rsid w:val="00207B30"/>
    <w:rsid w:val="00223843"/>
    <w:rsid w:val="00223971"/>
    <w:rsid w:val="00231BE2"/>
    <w:rsid w:val="00232460"/>
    <w:rsid w:val="00241862"/>
    <w:rsid w:val="00244053"/>
    <w:rsid w:val="0025038A"/>
    <w:rsid w:val="00252BBC"/>
    <w:rsid w:val="00253E4E"/>
    <w:rsid w:val="00261A92"/>
    <w:rsid w:val="00262BC4"/>
    <w:rsid w:val="0027055F"/>
    <w:rsid w:val="00273535"/>
    <w:rsid w:val="00296DBF"/>
    <w:rsid w:val="002A7A10"/>
    <w:rsid w:val="002B026B"/>
    <w:rsid w:val="002D321D"/>
    <w:rsid w:val="002F180D"/>
    <w:rsid w:val="002F4D27"/>
    <w:rsid w:val="003025E2"/>
    <w:rsid w:val="00311A38"/>
    <w:rsid w:val="00321BE8"/>
    <w:rsid w:val="0032633C"/>
    <w:rsid w:val="003279AD"/>
    <w:rsid w:val="003322E7"/>
    <w:rsid w:val="003342EB"/>
    <w:rsid w:val="0033508F"/>
    <w:rsid w:val="0033587C"/>
    <w:rsid w:val="00344827"/>
    <w:rsid w:val="003456E4"/>
    <w:rsid w:val="00363D42"/>
    <w:rsid w:val="0036534B"/>
    <w:rsid w:val="0036584E"/>
    <w:rsid w:val="003715CA"/>
    <w:rsid w:val="003755DF"/>
    <w:rsid w:val="003851BF"/>
    <w:rsid w:val="00385456"/>
    <w:rsid w:val="0039037B"/>
    <w:rsid w:val="00392E86"/>
    <w:rsid w:val="00394C24"/>
    <w:rsid w:val="00395376"/>
    <w:rsid w:val="003A1DFA"/>
    <w:rsid w:val="003A342C"/>
    <w:rsid w:val="003A39DF"/>
    <w:rsid w:val="003A416C"/>
    <w:rsid w:val="003A7DB8"/>
    <w:rsid w:val="003A7E63"/>
    <w:rsid w:val="003B10E5"/>
    <w:rsid w:val="003C0E79"/>
    <w:rsid w:val="003D72DF"/>
    <w:rsid w:val="003D7F3F"/>
    <w:rsid w:val="003E1151"/>
    <w:rsid w:val="003E75A8"/>
    <w:rsid w:val="003E7FB4"/>
    <w:rsid w:val="003F42D6"/>
    <w:rsid w:val="00401F0D"/>
    <w:rsid w:val="00414892"/>
    <w:rsid w:val="00416613"/>
    <w:rsid w:val="00427736"/>
    <w:rsid w:val="00427E02"/>
    <w:rsid w:val="0043788A"/>
    <w:rsid w:val="0044547C"/>
    <w:rsid w:val="0046025C"/>
    <w:rsid w:val="004716B4"/>
    <w:rsid w:val="004841E6"/>
    <w:rsid w:val="00484702"/>
    <w:rsid w:val="00484E3F"/>
    <w:rsid w:val="0048542D"/>
    <w:rsid w:val="00490892"/>
    <w:rsid w:val="004920F7"/>
    <w:rsid w:val="00494511"/>
    <w:rsid w:val="004A09E1"/>
    <w:rsid w:val="004A6ED4"/>
    <w:rsid w:val="004B0FFE"/>
    <w:rsid w:val="004B4717"/>
    <w:rsid w:val="004B4F5D"/>
    <w:rsid w:val="004B6857"/>
    <w:rsid w:val="004B7FEB"/>
    <w:rsid w:val="004C0E7E"/>
    <w:rsid w:val="004C20C4"/>
    <w:rsid w:val="004C235D"/>
    <w:rsid w:val="004C44CA"/>
    <w:rsid w:val="004C49E4"/>
    <w:rsid w:val="004C597A"/>
    <w:rsid w:val="004C600D"/>
    <w:rsid w:val="004C7C8D"/>
    <w:rsid w:val="004D1838"/>
    <w:rsid w:val="004D650C"/>
    <w:rsid w:val="004F0B9A"/>
    <w:rsid w:val="004F3A50"/>
    <w:rsid w:val="00505DE8"/>
    <w:rsid w:val="0051267E"/>
    <w:rsid w:val="00515A3A"/>
    <w:rsid w:val="0051674B"/>
    <w:rsid w:val="00524C8F"/>
    <w:rsid w:val="00527EA3"/>
    <w:rsid w:val="005423D8"/>
    <w:rsid w:val="00544041"/>
    <w:rsid w:val="0055503A"/>
    <w:rsid w:val="00561703"/>
    <w:rsid w:val="00562045"/>
    <w:rsid w:val="00575832"/>
    <w:rsid w:val="00581F65"/>
    <w:rsid w:val="00582FDF"/>
    <w:rsid w:val="005906F3"/>
    <w:rsid w:val="0059209D"/>
    <w:rsid w:val="005A2551"/>
    <w:rsid w:val="005A4E6A"/>
    <w:rsid w:val="005B29E7"/>
    <w:rsid w:val="005B4495"/>
    <w:rsid w:val="005B6628"/>
    <w:rsid w:val="005C2029"/>
    <w:rsid w:val="005D1374"/>
    <w:rsid w:val="005D13C9"/>
    <w:rsid w:val="005D2114"/>
    <w:rsid w:val="005D2F02"/>
    <w:rsid w:val="005D7C74"/>
    <w:rsid w:val="005E1334"/>
    <w:rsid w:val="005E1926"/>
    <w:rsid w:val="005E48D8"/>
    <w:rsid w:val="005E5204"/>
    <w:rsid w:val="005F4945"/>
    <w:rsid w:val="005F60EB"/>
    <w:rsid w:val="006150B5"/>
    <w:rsid w:val="006206E5"/>
    <w:rsid w:val="006215C4"/>
    <w:rsid w:val="00621E74"/>
    <w:rsid w:val="00630254"/>
    <w:rsid w:val="00634634"/>
    <w:rsid w:val="00634790"/>
    <w:rsid w:val="00636984"/>
    <w:rsid w:val="0064627F"/>
    <w:rsid w:val="006535AD"/>
    <w:rsid w:val="00654CB0"/>
    <w:rsid w:val="006662B3"/>
    <w:rsid w:val="00670627"/>
    <w:rsid w:val="006737AD"/>
    <w:rsid w:val="00681478"/>
    <w:rsid w:val="00681B2B"/>
    <w:rsid w:val="0069219E"/>
    <w:rsid w:val="006A2C51"/>
    <w:rsid w:val="006B3D47"/>
    <w:rsid w:val="006B5095"/>
    <w:rsid w:val="006B71ED"/>
    <w:rsid w:val="006C1629"/>
    <w:rsid w:val="006C7E2E"/>
    <w:rsid w:val="006D1287"/>
    <w:rsid w:val="006D14C0"/>
    <w:rsid w:val="006D235C"/>
    <w:rsid w:val="006D3E11"/>
    <w:rsid w:val="006E2225"/>
    <w:rsid w:val="006E627D"/>
    <w:rsid w:val="00701132"/>
    <w:rsid w:val="0070391F"/>
    <w:rsid w:val="007143DC"/>
    <w:rsid w:val="0071742C"/>
    <w:rsid w:val="00722970"/>
    <w:rsid w:val="00752517"/>
    <w:rsid w:val="00754494"/>
    <w:rsid w:val="0076078C"/>
    <w:rsid w:val="00762987"/>
    <w:rsid w:val="00763C64"/>
    <w:rsid w:val="00767C87"/>
    <w:rsid w:val="007725FB"/>
    <w:rsid w:val="00773AEB"/>
    <w:rsid w:val="00774A25"/>
    <w:rsid w:val="00793A7A"/>
    <w:rsid w:val="007A231A"/>
    <w:rsid w:val="007C689A"/>
    <w:rsid w:val="007E0351"/>
    <w:rsid w:val="007E5826"/>
    <w:rsid w:val="007E70C5"/>
    <w:rsid w:val="007F44FB"/>
    <w:rsid w:val="0080066C"/>
    <w:rsid w:val="00804F5C"/>
    <w:rsid w:val="00805A6A"/>
    <w:rsid w:val="00822BCB"/>
    <w:rsid w:val="008254DB"/>
    <w:rsid w:val="00827AF0"/>
    <w:rsid w:val="008342D8"/>
    <w:rsid w:val="008357A7"/>
    <w:rsid w:val="008402E9"/>
    <w:rsid w:val="00843A06"/>
    <w:rsid w:val="0084450C"/>
    <w:rsid w:val="00852996"/>
    <w:rsid w:val="00855594"/>
    <w:rsid w:val="00860403"/>
    <w:rsid w:val="008608D5"/>
    <w:rsid w:val="00866C7C"/>
    <w:rsid w:val="00873082"/>
    <w:rsid w:val="00874148"/>
    <w:rsid w:val="00885BD6"/>
    <w:rsid w:val="00886BEB"/>
    <w:rsid w:val="00894961"/>
    <w:rsid w:val="00897D71"/>
    <w:rsid w:val="008A36E7"/>
    <w:rsid w:val="008A666C"/>
    <w:rsid w:val="008C1A36"/>
    <w:rsid w:val="008C4BB7"/>
    <w:rsid w:val="008C7E0C"/>
    <w:rsid w:val="008D06AC"/>
    <w:rsid w:val="008D1698"/>
    <w:rsid w:val="008D3C05"/>
    <w:rsid w:val="008D75F7"/>
    <w:rsid w:val="008E564B"/>
    <w:rsid w:val="008F617F"/>
    <w:rsid w:val="0091442D"/>
    <w:rsid w:val="00915207"/>
    <w:rsid w:val="00916440"/>
    <w:rsid w:val="0092209C"/>
    <w:rsid w:val="00932AD1"/>
    <w:rsid w:val="00936454"/>
    <w:rsid w:val="00945487"/>
    <w:rsid w:val="0094605E"/>
    <w:rsid w:val="0094731E"/>
    <w:rsid w:val="0095538E"/>
    <w:rsid w:val="009622CD"/>
    <w:rsid w:val="00970143"/>
    <w:rsid w:val="00971166"/>
    <w:rsid w:val="00972CDC"/>
    <w:rsid w:val="009B5DB8"/>
    <w:rsid w:val="009C4EDA"/>
    <w:rsid w:val="009D31B5"/>
    <w:rsid w:val="009E1A4A"/>
    <w:rsid w:val="009E48DE"/>
    <w:rsid w:val="009E4E72"/>
    <w:rsid w:val="009F0DFA"/>
    <w:rsid w:val="00A00180"/>
    <w:rsid w:val="00A14C60"/>
    <w:rsid w:val="00A27015"/>
    <w:rsid w:val="00A30C2C"/>
    <w:rsid w:val="00A328CE"/>
    <w:rsid w:val="00A548E1"/>
    <w:rsid w:val="00A54FB7"/>
    <w:rsid w:val="00A62969"/>
    <w:rsid w:val="00A67DC4"/>
    <w:rsid w:val="00A90E16"/>
    <w:rsid w:val="00A9152B"/>
    <w:rsid w:val="00A922BF"/>
    <w:rsid w:val="00A92581"/>
    <w:rsid w:val="00A96AE5"/>
    <w:rsid w:val="00AB0EC9"/>
    <w:rsid w:val="00AB5B1A"/>
    <w:rsid w:val="00AD1799"/>
    <w:rsid w:val="00AE000D"/>
    <w:rsid w:val="00AE4283"/>
    <w:rsid w:val="00AE5747"/>
    <w:rsid w:val="00AF0929"/>
    <w:rsid w:val="00B022A8"/>
    <w:rsid w:val="00B03174"/>
    <w:rsid w:val="00B079A1"/>
    <w:rsid w:val="00B11CC8"/>
    <w:rsid w:val="00B1549D"/>
    <w:rsid w:val="00B30D08"/>
    <w:rsid w:val="00B320B4"/>
    <w:rsid w:val="00B35498"/>
    <w:rsid w:val="00B357DF"/>
    <w:rsid w:val="00B51673"/>
    <w:rsid w:val="00B54357"/>
    <w:rsid w:val="00B61D6B"/>
    <w:rsid w:val="00B65F25"/>
    <w:rsid w:val="00B66BA2"/>
    <w:rsid w:val="00B70DFD"/>
    <w:rsid w:val="00B743FC"/>
    <w:rsid w:val="00B75A14"/>
    <w:rsid w:val="00B762C9"/>
    <w:rsid w:val="00B76B8F"/>
    <w:rsid w:val="00B86247"/>
    <w:rsid w:val="00B90A0C"/>
    <w:rsid w:val="00B910F3"/>
    <w:rsid w:val="00B96B64"/>
    <w:rsid w:val="00B97A1A"/>
    <w:rsid w:val="00BA26C6"/>
    <w:rsid w:val="00BA557B"/>
    <w:rsid w:val="00BB443F"/>
    <w:rsid w:val="00BB64EF"/>
    <w:rsid w:val="00BB7448"/>
    <w:rsid w:val="00BC2685"/>
    <w:rsid w:val="00BC3279"/>
    <w:rsid w:val="00BD0AAF"/>
    <w:rsid w:val="00BD31DB"/>
    <w:rsid w:val="00BD3E7F"/>
    <w:rsid w:val="00BE0A16"/>
    <w:rsid w:val="00BE0D96"/>
    <w:rsid w:val="00BE592B"/>
    <w:rsid w:val="00BE5982"/>
    <w:rsid w:val="00BE6D9F"/>
    <w:rsid w:val="00BF03AB"/>
    <w:rsid w:val="00BF1266"/>
    <w:rsid w:val="00BF33C5"/>
    <w:rsid w:val="00C01B0D"/>
    <w:rsid w:val="00C0225D"/>
    <w:rsid w:val="00C06284"/>
    <w:rsid w:val="00C078F7"/>
    <w:rsid w:val="00C130A5"/>
    <w:rsid w:val="00C16963"/>
    <w:rsid w:val="00C3368F"/>
    <w:rsid w:val="00C46140"/>
    <w:rsid w:val="00C46FAC"/>
    <w:rsid w:val="00C502AB"/>
    <w:rsid w:val="00C520F7"/>
    <w:rsid w:val="00C5319A"/>
    <w:rsid w:val="00C53414"/>
    <w:rsid w:val="00C562EC"/>
    <w:rsid w:val="00C634C6"/>
    <w:rsid w:val="00C64D7B"/>
    <w:rsid w:val="00C833F1"/>
    <w:rsid w:val="00C86C8C"/>
    <w:rsid w:val="00C871C9"/>
    <w:rsid w:val="00CA146C"/>
    <w:rsid w:val="00CA7113"/>
    <w:rsid w:val="00CB0091"/>
    <w:rsid w:val="00CB0544"/>
    <w:rsid w:val="00CB2414"/>
    <w:rsid w:val="00CD0C16"/>
    <w:rsid w:val="00CD337C"/>
    <w:rsid w:val="00CD7013"/>
    <w:rsid w:val="00CE05D5"/>
    <w:rsid w:val="00CE20BF"/>
    <w:rsid w:val="00CE2F15"/>
    <w:rsid w:val="00CE3ED7"/>
    <w:rsid w:val="00CF2101"/>
    <w:rsid w:val="00D011E4"/>
    <w:rsid w:val="00D05F09"/>
    <w:rsid w:val="00D2457C"/>
    <w:rsid w:val="00D3184E"/>
    <w:rsid w:val="00D41BE3"/>
    <w:rsid w:val="00D4360E"/>
    <w:rsid w:val="00D47612"/>
    <w:rsid w:val="00D47FF0"/>
    <w:rsid w:val="00D51412"/>
    <w:rsid w:val="00D51802"/>
    <w:rsid w:val="00D56F21"/>
    <w:rsid w:val="00D60968"/>
    <w:rsid w:val="00D7375C"/>
    <w:rsid w:val="00D74A4F"/>
    <w:rsid w:val="00D86BCE"/>
    <w:rsid w:val="00D97295"/>
    <w:rsid w:val="00DA22EA"/>
    <w:rsid w:val="00DB7E90"/>
    <w:rsid w:val="00DB7F7F"/>
    <w:rsid w:val="00DC0C63"/>
    <w:rsid w:val="00DD147B"/>
    <w:rsid w:val="00DD17CC"/>
    <w:rsid w:val="00DE29D7"/>
    <w:rsid w:val="00DE3E26"/>
    <w:rsid w:val="00DE5619"/>
    <w:rsid w:val="00DF4CAF"/>
    <w:rsid w:val="00E03444"/>
    <w:rsid w:val="00E04B30"/>
    <w:rsid w:val="00E07B09"/>
    <w:rsid w:val="00E21D82"/>
    <w:rsid w:val="00E32C57"/>
    <w:rsid w:val="00E3714C"/>
    <w:rsid w:val="00E45E6E"/>
    <w:rsid w:val="00E46810"/>
    <w:rsid w:val="00E47E3A"/>
    <w:rsid w:val="00E71044"/>
    <w:rsid w:val="00E71902"/>
    <w:rsid w:val="00E73CBA"/>
    <w:rsid w:val="00E73F7D"/>
    <w:rsid w:val="00E745C4"/>
    <w:rsid w:val="00E85B15"/>
    <w:rsid w:val="00E87907"/>
    <w:rsid w:val="00E932AA"/>
    <w:rsid w:val="00EA2303"/>
    <w:rsid w:val="00EA75E9"/>
    <w:rsid w:val="00EB0E0A"/>
    <w:rsid w:val="00EB409A"/>
    <w:rsid w:val="00EC2437"/>
    <w:rsid w:val="00ED09F4"/>
    <w:rsid w:val="00EE6FD7"/>
    <w:rsid w:val="00EF2FDD"/>
    <w:rsid w:val="00F0123F"/>
    <w:rsid w:val="00F01721"/>
    <w:rsid w:val="00F06E7F"/>
    <w:rsid w:val="00F07FC8"/>
    <w:rsid w:val="00F1295C"/>
    <w:rsid w:val="00F15616"/>
    <w:rsid w:val="00F2054F"/>
    <w:rsid w:val="00F217FD"/>
    <w:rsid w:val="00F30D95"/>
    <w:rsid w:val="00F312B9"/>
    <w:rsid w:val="00F34815"/>
    <w:rsid w:val="00F40327"/>
    <w:rsid w:val="00F4184A"/>
    <w:rsid w:val="00F44ED7"/>
    <w:rsid w:val="00F47630"/>
    <w:rsid w:val="00F51DFC"/>
    <w:rsid w:val="00F54EF5"/>
    <w:rsid w:val="00F652DD"/>
    <w:rsid w:val="00F71D6D"/>
    <w:rsid w:val="00F74307"/>
    <w:rsid w:val="00F779D8"/>
    <w:rsid w:val="00F848EF"/>
    <w:rsid w:val="00F91DDB"/>
    <w:rsid w:val="00FA051F"/>
    <w:rsid w:val="00FA1048"/>
    <w:rsid w:val="00FA6121"/>
    <w:rsid w:val="00FB1EB5"/>
    <w:rsid w:val="00FB344D"/>
    <w:rsid w:val="00FB7B03"/>
    <w:rsid w:val="00FC4AAD"/>
    <w:rsid w:val="00FC5970"/>
    <w:rsid w:val="00FC7659"/>
    <w:rsid w:val="00FD1F84"/>
    <w:rsid w:val="00FD4570"/>
    <w:rsid w:val="00FD5481"/>
    <w:rsid w:val="00FD6157"/>
    <w:rsid w:val="00FD6F49"/>
    <w:rsid w:val="00FD7783"/>
    <w:rsid w:val="00FE1B9C"/>
    <w:rsid w:val="00FE2F14"/>
    <w:rsid w:val="00FF3E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F33D4"/>
  <w15:chartTrackingRefBased/>
  <w15:docId w15:val="{450FB4B4-F345-42D2-9683-32CB07171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5C4"/>
    <w:pPr>
      <w:spacing w:after="0" w:line="240" w:lineRule="auto"/>
      <w:jc w:val="both"/>
    </w:pPr>
    <w:rPr>
      <w:rFonts w:ascii="Times New Roman" w:eastAsiaTheme="minorEastAsia" w:hAnsi="Times New Roman"/>
      <w:sz w:val="28"/>
    </w:rPr>
  </w:style>
  <w:style w:type="paragraph" w:styleId="Ttulo1">
    <w:name w:val="heading 1"/>
    <w:basedOn w:val="Normal"/>
    <w:next w:val="Normal"/>
    <w:link w:val="Ttulo1Car"/>
    <w:uiPriority w:val="9"/>
    <w:qFormat/>
    <w:rsid w:val="00E745C4"/>
    <w:pPr>
      <w:keepNext/>
      <w:keepLines/>
      <w:jc w:val="center"/>
      <w:outlineLvl w:val="0"/>
    </w:pPr>
    <w:rPr>
      <w:rFonts w:eastAsiaTheme="majorEastAsia" w:cstheme="majorBidi"/>
      <w:b/>
      <w:color w:val="000000" w:themeColor="text1"/>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45C4"/>
    <w:rPr>
      <w:rFonts w:ascii="Times New Roman" w:eastAsiaTheme="majorEastAsia" w:hAnsi="Times New Roman" w:cstheme="majorBidi"/>
      <w:b/>
      <w:color w:val="000000" w:themeColor="text1"/>
      <w:sz w:val="28"/>
      <w:szCs w:val="32"/>
    </w:rPr>
  </w:style>
  <w:style w:type="paragraph" w:styleId="Prrafodelista">
    <w:name w:val="List Paragraph"/>
    <w:basedOn w:val="Normal"/>
    <w:uiPriority w:val="34"/>
    <w:qFormat/>
    <w:rsid w:val="00E745C4"/>
    <w:pPr>
      <w:ind w:left="720"/>
      <w:contextualSpacing/>
    </w:pPr>
  </w:style>
  <w:style w:type="paragraph" w:styleId="Textonotapie">
    <w:name w:val="footnote text"/>
    <w:aliases w:val="Ref. de nota al pie1,Texto de nota al pie,referencia nota al pie,BVI fnr,Ref. de nota al pie2,Nota de pie,Ref,de nota al pie,Footnote symbol,Footnote,Pie de pagina,Footnotes refss,Appel note de bas de page,Footnote number,f,FC,FA Fu,fn"/>
    <w:basedOn w:val="Normal"/>
    <w:link w:val="TextonotapieCar"/>
    <w:uiPriority w:val="99"/>
    <w:unhideWhenUsed/>
    <w:qFormat/>
    <w:rsid w:val="008A36E7"/>
    <w:rPr>
      <w:sz w:val="20"/>
      <w:szCs w:val="20"/>
    </w:rPr>
  </w:style>
  <w:style w:type="character" w:customStyle="1" w:styleId="TextonotapieCar">
    <w:name w:val="Texto nota pie Car"/>
    <w:aliases w:val="Ref. de nota al pie1 Car,Texto de nota al pie Car,referencia nota al pie Car,BVI fnr Car,Ref. de nota al pie2 Car,Nota de pie Car,Ref Car,de nota al pie Car,Footnote symbol Car,Footnote Car,Pie de pagina Car,Footnotes refss Car,f Car"/>
    <w:basedOn w:val="Fuentedeprrafopredeter"/>
    <w:link w:val="Textonotapie"/>
    <w:uiPriority w:val="99"/>
    <w:rsid w:val="008A36E7"/>
    <w:rPr>
      <w:rFonts w:ascii="Times New Roman" w:eastAsiaTheme="minorEastAsia" w:hAnsi="Times New Roman"/>
      <w:sz w:val="20"/>
      <w:szCs w:val="20"/>
    </w:rPr>
  </w:style>
  <w:style w:type="character" w:styleId="Refdenotaalpie">
    <w:name w:val="footnote reference"/>
    <w:aliases w:val="Fago Fußnotenzeichen,4_G,16 Point,Superscript 6 Point,Texto nota al pie,Footnote Reference Char3,Ref. de nota al pie.,F,Footnote Text Char1 Car Car Car Car,Nota a pie,Ref. de nota al pie 2,Texto nota pie Car2,texto de nota al pi Car1"/>
    <w:basedOn w:val="Fuentedeprrafopredeter"/>
    <w:uiPriority w:val="99"/>
    <w:unhideWhenUsed/>
    <w:qFormat/>
    <w:rsid w:val="008A36E7"/>
    <w:rPr>
      <w:vertAlign w:val="superscript"/>
    </w:rPr>
  </w:style>
  <w:style w:type="paragraph" w:customStyle="1" w:styleId="Default">
    <w:name w:val="Default"/>
    <w:rsid w:val="006D1287"/>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D4360E"/>
    <w:rPr>
      <w:color w:val="0563C1" w:themeColor="hyperlink"/>
      <w:u w:val="single"/>
    </w:rPr>
  </w:style>
  <w:style w:type="character" w:styleId="Refdecomentario">
    <w:name w:val="annotation reference"/>
    <w:basedOn w:val="Fuentedeprrafopredeter"/>
    <w:uiPriority w:val="99"/>
    <w:semiHidden/>
    <w:unhideWhenUsed/>
    <w:rsid w:val="00D4360E"/>
    <w:rPr>
      <w:sz w:val="16"/>
      <w:szCs w:val="16"/>
    </w:rPr>
  </w:style>
  <w:style w:type="paragraph" w:styleId="Textocomentario">
    <w:name w:val="annotation text"/>
    <w:basedOn w:val="Normal"/>
    <w:link w:val="TextocomentarioCar"/>
    <w:uiPriority w:val="99"/>
    <w:semiHidden/>
    <w:unhideWhenUsed/>
    <w:rsid w:val="00D4360E"/>
    <w:pPr>
      <w:spacing w:after="160"/>
      <w:jc w:val="left"/>
    </w:pPr>
    <w:rPr>
      <w:rFonts w:asciiTheme="minorHAnsi" w:eastAsiaTheme="minorHAnsi" w:hAnsiTheme="minorHAnsi"/>
      <w:sz w:val="20"/>
      <w:szCs w:val="20"/>
    </w:rPr>
  </w:style>
  <w:style w:type="character" w:customStyle="1" w:styleId="TextocomentarioCar">
    <w:name w:val="Texto comentario Car"/>
    <w:basedOn w:val="Fuentedeprrafopredeter"/>
    <w:link w:val="Textocomentario"/>
    <w:uiPriority w:val="99"/>
    <w:semiHidden/>
    <w:rsid w:val="00D4360E"/>
    <w:rPr>
      <w:sz w:val="20"/>
      <w:szCs w:val="20"/>
    </w:rPr>
  </w:style>
  <w:style w:type="paragraph" w:styleId="Textodeglobo">
    <w:name w:val="Balloon Text"/>
    <w:basedOn w:val="Normal"/>
    <w:link w:val="TextodegloboCar"/>
    <w:uiPriority w:val="99"/>
    <w:semiHidden/>
    <w:unhideWhenUsed/>
    <w:rsid w:val="00AE428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4283"/>
    <w:rPr>
      <w:rFonts w:ascii="Segoe UI" w:eastAsiaTheme="minorEastAsia" w:hAnsi="Segoe UI" w:cs="Segoe UI"/>
      <w:sz w:val="18"/>
      <w:szCs w:val="18"/>
    </w:rPr>
  </w:style>
  <w:style w:type="paragraph" w:styleId="Encabezado">
    <w:name w:val="header"/>
    <w:basedOn w:val="Normal"/>
    <w:link w:val="EncabezadoCar"/>
    <w:uiPriority w:val="99"/>
    <w:unhideWhenUsed/>
    <w:rsid w:val="00202376"/>
    <w:pPr>
      <w:tabs>
        <w:tab w:val="center" w:pos="4419"/>
        <w:tab w:val="right" w:pos="8838"/>
      </w:tabs>
    </w:pPr>
  </w:style>
  <w:style w:type="character" w:customStyle="1" w:styleId="EncabezadoCar">
    <w:name w:val="Encabezado Car"/>
    <w:basedOn w:val="Fuentedeprrafopredeter"/>
    <w:link w:val="Encabezado"/>
    <w:uiPriority w:val="99"/>
    <w:rsid w:val="00202376"/>
    <w:rPr>
      <w:rFonts w:ascii="Times New Roman" w:eastAsiaTheme="minorEastAsia" w:hAnsi="Times New Roman"/>
      <w:sz w:val="28"/>
    </w:rPr>
  </w:style>
  <w:style w:type="paragraph" w:styleId="Piedepgina">
    <w:name w:val="footer"/>
    <w:basedOn w:val="Normal"/>
    <w:link w:val="PiedepginaCar"/>
    <w:uiPriority w:val="99"/>
    <w:unhideWhenUsed/>
    <w:rsid w:val="00202376"/>
    <w:pPr>
      <w:tabs>
        <w:tab w:val="center" w:pos="4419"/>
        <w:tab w:val="right" w:pos="8838"/>
      </w:tabs>
    </w:pPr>
  </w:style>
  <w:style w:type="character" w:customStyle="1" w:styleId="PiedepginaCar">
    <w:name w:val="Pie de página Car"/>
    <w:basedOn w:val="Fuentedeprrafopredeter"/>
    <w:link w:val="Piedepgina"/>
    <w:uiPriority w:val="99"/>
    <w:rsid w:val="00202376"/>
    <w:rPr>
      <w:rFonts w:ascii="Times New Roman" w:eastAsiaTheme="minorEastAsia" w:hAnsi="Times New Roman"/>
      <w:sz w:val="28"/>
    </w:rPr>
  </w:style>
  <w:style w:type="table" w:styleId="Tablaconcuadrcula">
    <w:name w:val="Table Grid"/>
    <w:basedOn w:val="Tablanormal"/>
    <w:uiPriority w:val="39"/>
    <w:rsid w:val="006C1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unhideWhenUsed/>
    <w:rsid w:val="004C0E7E"/>
    <w:pPr>
      <w:spacing w:after="0"/>
      <w:jc w:val="both"/>
    </w:pPr>
    <w:rPr>
      <w:rFonts w:ascii="Times New Roman" w:eastAsiaTheme="minorEastAsia" w:hAnsi="Times New Roman"/>
      <w:b/>
      <w:bCs/>
    </w:rPr>
  </w:style>
  <w:style w:type="character" w:customStyle="1" w:styleId="AsuntodelcomentarioCar">
    <w:name w:val="Asunto del comentario Car"/>
    <w:basedOn w:val="TextocomentarioCar"/>
    <w:link w:val="Asuntodelcomentario"/>
    <w:uiPriority w:val="99"/>
    <w:semiHidden/>
    <w:rsid w:val="004C0E7E"/>
    <w:rPr>
      <w:rFonts w:ascii="Times New Roman" w:eastAsiaTheme="minorEastAsia"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80266">
      <w:bodyDiv w:val="1"/>
      <w:marLeft w:val="0"/>
      <w:marRight w:val="0"/>
      <w:marTop w:val="0"/>
      <w:marBottom w:val="0"/>
      <w:divBdr>
        <w:top w:val="none" w:sz="0" w:space="0" w:color="auto"/>
        <w:left w:val="none" w:sz="0" w:space="0" w:color="auto"/>
        <w:bottom w:val="none" w:sz="0" w:space="0" w:color="auto"/>
        <w:right w:val="none" w:sz="0" w:space="0" w:color="auto"/>
      </w:divBdr>
    </w:div>
    <w:div w:id="146632893">
      <w:bodyDiv w:val="1"/>
      <w:marLeft w:val="0"/>
      <w:marRight w:val="0"/>
      <w:marTop w:val="0"/>
      <w:marBottom w:val="0"/>
      <w:divBdr>
        <w:top w:val="none" w:sz="0" w:space="0" w:color="auto"/>
        <w:left w:val="none" w:sz="0" w:space="0" w:color="auto"/>
        <w:bottom w:val="none" w:sz="0" w:space="0" w:color="auto"/>
        <w:right w:val="none" w:sz="0" w:space="0" w:color="auto"/>
      </w:divBdr>
    </w:div>
    <w:div w:id="1003632561">
      <w:bodyDiv w:val="1"/>
      <w:marLeft w:val="0"/>
      <w:marRight w:val="0"/>
      <w:marTop w:val="0"/>
      <w:marBottom w:val="0"/>
      <w:divBdr>
        <w:top w:val="none" w:sz="0" w:space="0" w:color="auto"/>
        <w:left w:val="none" w:sz="0" w:space="0" w:color="auto"/>
        <w:bottom w:val="none" w:sz="0" w:space="0" w:color="auto"/>
        <w:right w:val="none" w:sz="0" w:space="0" w:color="auto"/>
      </w:divBdr>
    </w:div>
    <w:div w:id="1008288091">
      <w:bodyDiv w:val="1"/>
      <w:marLeft w:val="0"/>
      <w:marRight w:val="0"/>
      <w:marTop w:val="0"/>
      <w:marBottom w:val="0"/>
      <w:divBdr>
        <w:top w:val="none" w:sz="0" w:space="0" w:color="auto"/>
        <w:left w:val="none" w:sz="0" w:space="0" w:color="auto"/>
        <w:bottom w:val="none" w:sz="0" w:space="0" w:color="auto"/>
        <w:right w:val="none" w:sz="0" w:space="0" w:color="auto"/>
      </w:divBdr>
    </w:div>
    <w:div w:id="1636176270">
      <w:bodyDiv w:val="1"/>
      <w:marLeft w:val="0"/>
      <w:marRight w:val="0"/>
      <w:marTop w:val="0"/>
      <w:marBottom w:val="0"/>
      <w:divBdr>
        <w:top w:val="none" w:sz="0" w:space="0" w:color="auto"/>
        <w:left w:val="none" w:sz="0" w:space="0" w:color="auto"/>
        <w:bottom w:val="none" w:sz="0" w:space="0" w:color="auto"/>
        <w:right w:val="none" w:sz="0" w:space="0" w:color="auto"/>
      </w:divBdr>
    </w:div>
    <w:div w:id="2020964281">
      <w:bodyDiv w:val="1"/>
      <w:marLeft w:val="0"/>
      <w:marRight w:val="0"/>
      <w:marTop w:val="0"/>
      <w:marBottom w:val="0"/>
      <w:divBdr>
        <w:top w:val="none" w:sz="0" w:space="0" w:color="auto"/>
        <w:left w:val="none" w:sz="0" w:space="0" w:color="auto"/>
        <w:bottom w:val="none" w:sz="0" w:space="0" w:color="auto"/>
        <w:right w:val="none" w:sz="0" w:space="0" w:color="auto"/>
      </w:divBdr>
    </w:div>
    <w:div w:id="204224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55183-ED88-459E-81AD-9CCCEC779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6681</Words>
  <Characters>36749</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Cano Blandon</dc:creator>
  <cp:keywords/>
  <dc:description/>
  <cp:lastModifiedBy>Adonorem T025</cp:lastModifiedBy>
  <cp:revision>5</cp:revision>
  <cp:lastPrinted>2018-10-19T15:34:00Z</cp:lastPrinted>
  <dcterms:created xsi:type="dcterms:W3CDTF">2018-10-16T20:43:00Z</dcterms:created>
  <dcterms:modified xsi:type="dcterms:W3CDTF">2018-10-19T15:35:00Z</dcterms:modified>
</cp:coreProperties>
</file>